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23A042" w14:textId="5F66DA9F" w:rsidR="002D25B8" w:rsidRPr="004B58E6" w:rsidRDefault="00E735B8" w:rsidP="002D25B8">
      <w:pPr>
        <w:pStyle w:val="2"/>
        <w:spacing w:before="98"/>
        <w:ind w:left="136"/>
        <w:jc w:val="center"/>
        <w:rPr>
          <w:color w:val="231F20"/>
        </w:rPr>
      </w:pPr>
      <w:r>
        <w:rPr>
          <w:color w:val="231F20"/>
        </w:rPr>
        <w:t>How to Avoid the Severe Complications of Filler Injection and Fat Grafting</w:t>
      </w:r>
    </w:p>
    <w:p w14:paraId="29463BC3" w14:textId="31B29FD9" w:rsidR="00741EAE" w:rsidRDefault="00B616D2" w:rsidP="00741EAE">
      <w:pPr>
        <w:pStyle w:val="2"/>
        <w:spacing w:before="98"/>
        <w:ind w:left="136"/>
        <w:rPr>
          <w:b w:val="0"/>
          <w:bCs w:val="0"/>
          <w:color w:val="231F20"/>
          <w:vertAlign w:val="superscript"/>
        </w:rPr>
      </w:pPr>
      <w:r>
        <w:rPr>
          <w:noProof/>
          <w:color w:val="231F20"/>
        </w:rPr>
        <w:drawing>
          <wp:anchor distT="0" distB="0" distL="114300" distR="114300" simplePos="0" relativeHeight="251659264" behindDoc="0" locked="0" layoutInCell="1" allowOverlap="1" wp14:anchorId="52E33014" wp14:editId="2CAB1F93">
            <wp:simplePos x="0" y="0"/>
            <wp:positionH relativeFrom="margin">
              <wp:align>right</wp:align>
            </wp:positionH>
            <wp:positionV relativeFrom="paragraph">
              <wp:posOffset>120015</wp:posOffset>
            </wp:positionV>
            <wp:extent cx="1513840" cy="1688465"/>
            <wp:effectExtent l="0" t="0" r="0" b="698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1268" t="13477" r="17480" b="33220"/>
                    <a:stretch/>
                  </pic:blipFill>
                  <pic:spPr bwMode="auto">
                    <a:xfrm>
                      <a:off x="0" y="0"/>
                      <a:ext cx="1513840" cy="16884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1EAE" w:rsidRPr="00B6429F">
        <w:rPr>
          <w:color w:val="231F20"/>
          <w:u w:val="single"/>
        </w:rPr>
        <w:t>Tsai-Ming Lin MD, PhD</w:t>
      </w:r>
      <w:r w:rsidR="00741EAE" w:rsidRPr="00B6429F">
        <w:rPr>
          <w:color w:val="231F20"/>
          <w:u w:val="single"/>
          <w:vertAlign w:val="superscript"/>
        </w:rPr>
        <w:t>1,2</w:t>
      </w:r>
      <w:r w:rsidR="00741EAE" w:rsidRPr="00B6429F">
        <w:rPr>
          <w:b w:val="0"/>
          <w:bCs w:val="0"/>
          <w:color w:val="231F20"/>
        </w:rPr>
        <w:t xml:space="preserve">, </w:t>
      </w:r>
      <w:proofErr w:type="spellStart"/>
      <w:r w:rsidR="00741EAE" w:rsidRPr="004B58E6">
        <w:rPr>
          <w:b w:val="0"/>
          <w:bCs w:val="0"/>
          <w:color w:val="231F20"/>
        </w:rPr>
        <w:t>Chih</w:t>
      </w:r>
      <w:proofErr w:type="spellEnd"/>
      <w:r w:rsidR="00741EAE" w:rsidRPr="004B58E6">
        <w:rPr>
          <w:b w:val="0"/>
          <w:bCs w:val="0"/>
          <w:color w:val="231F20"/>
        </w:rPr>
        <w:t>-Kong Chou MD, MS</w:t>
      </w:r>
      <w:r w:rsidR="00741EAE" w:rsidRPr="004B58E6">
        <w:rPr>
          <w:b w:val="0"/>
          <w:bCs w:val="0"/>
          <w:color w:val="231F20"/>
          <w:vertAlign w:val="superscript"/>
        </w:rPr>
        <w:t>1</w:t>
      </w:r>
    </w:p>
    <w:p w14:paraId="066F5F5E" w14:textId="08F03AFC" w:rsidR="00741EAE" w:rsidRPr="004B58E6" w:rsidRDefault="00741EAE" w:rsidP="00741EAE">
      <w:pPr>
        <w:pStyle w:val="2"/>
        <w:spacing w:before="98"/>
        <w:ind w:left="136"/>
        <w:rPr>
          <w:b w:val="0"/>
          <w:bCs w:val="0"/>
          <w:color w:val="231F20"/>
        </w:rPr>
      </w:pPr>
      <w:r w:rsidRPr="004B58E6">
        <w:rPr>
          <w:b w:val="0"/>
          <w:bCs w:val="0"/>
          <w:color w:val="231F20"/>
          <w:vertAlign w:val="superscript"/>
        </w:rPr>
        <w:t>1</w:t>
      </w:r>
      <w:r w:rsidRPr="004B58E6">
        <w:rPr>
          <w:b w:val="0"/>
          <w:bCs w:val="0"/>
          <w:color w:val="231F20"/>
        </w:rPr>
        <w:t>Charming Institute of Aesthetic</w:t>
      </w:r>
      <w:r>
        <w:rPr>
          <w:b w:val="0"/>
          <w:bCs w:val="0"/>
          <w:color w:val="231F20"/>
        </w:rPr>
        <w:t xml:space="preserve"> </w:t>
      </w:r>
      <w:r w:rsidRPr="004B58E6">
        <w:rPr>
          <w:b w:val="0"/>
          <w:bCs w:val="0"/>
          <w:color w:val="231F20"/>
        </w:rPr>
        <w:t>and Regenerative Surgery</w:t>
      </w:r>
      <w:bookmarkStart w:id="0" w:name="_GoBack"/>
      <w:bookmarkEnd w:id="0"/>
    </w:p>
    <w:p w14:paraId="79AA3D1C" w14:textId="26ADFEB6" w:rsidR="00741EAE" w:rsidRDefault="00741EAE" w:rsidP="00741EAE">
      <w:pPr>
        <w:pStyle w:val="2"/>
        <w:spacing w:before="98"/>
        <w:ind w:left="136"/>
        <w:rPr>
          <w:b w:val="0"/>
          <w:bCs w:val="0"/>
          <w:color w:val="231F20"/>
        </w:rPr>
      </w:pPr>
      <w:r w:rsidRPr="004B58E6">
        <w:rPr>
          <w:b w:val="0"/>
          <w:bCs w:val="0"/>
          <w:color w:val="231F20"/>
          <w:vertAlign w:val="superscript"/>
        </w:rPr>
        <w:t>2</w:t>
      </w:r>
      <w:r w:rsidRPr="004B58E6">
        <w:rPr>
          <w:b w:val="0"/>
          <w:bCs w:val="0"/>
          <w:color w:val="231F20"/>
        </w:rPr>
        <w:t>Kaohsiung Medical University</w:t>
      </w:r>
      <w:r>
        <w:rPr>
          <w:b w:val="0"/>
          <w:bCs w:val="0"/>
          <w:color w:val="231F20"/>
        </w:rPr>
        <w:t xml:space="preserve"> </w:t>
      </w:r>
      <w:r w:rsidRPr="004B58E6">
        <w:rPr>
          <w:b w:val="0"/>
          <w:bCs w:val="0"/>
          <w:color w:val="231F20"/>
        </w:rPr>
        <w:t>Hospital</w:t>
      </w:r>
    </w:p>
    <w:p w14:paraId="12F76292" w14:textId="1F54B8FF" w:rsidR="00741EAE" w:rsidRDefault="00741EAE" w:rsidP="00741EAE">
      <w:pPr>
        <w:pStyle w:val="2"/>
        <w:spacing w:before="98"/>
        <w:ind w:left="136"/>
        <w:rPr>
          <w:b w:val="0"/>
          <w:bCs w:val="0"/>
          <w:color w:val="231F20"/>
        </w:rPr>
      </w:pPr>
      <w:r w:rsidRPr="004B58E6">
        <w:rPr>
          <w:b w:val="0"/>
          <w:bCs w:val="0"/>
          <w:color w:val="231F20"/>
        </w:rPr>
        <w:t>Kaohsiung, Taiwan</w:t>
      </w:r>
    </w:p>
    <w:p w14:paraId="378D3735" w14:textId="77777777" w:rsidR="00741EAE" w:rsidRPr="004B58E6" w:rsidRDefault="00741EAE" w:rsidP="00741EAE">
      <w:pPr>
        <w:pStyle w:val="2"/>
        <w:spacing w:before="98"/>
        <w:ind w:left="136"/>
        <w:rPr>
          <w:b w:val="0"/>
          <w:bCs w:val="0"/>
          <w:color w:val="231F20"/>
        </w:rPr>
      </w:pPr>
    </w:p>
    <w:p w14:paraId="776B66D0" w14:textId="73738498" w:rsidR="004B58E6" w:rsidRPr="004B58E6" w:rsidRDefault="004B58E6" w:rsidP="00AD39B1">
      <w:pPr>
        <w:spacing w:before="166" w:line="206" w:lineRule="auto"/>
        <w:ind w:left="136"/>
        <w:rPr>
          <w:rFonts w:ascii="Calibri"/>
          <w:b/>
          <w:sz w:val="24"/>
          <w:szCs w:val="20"/>
        </w:rPr>
      </w:pPr>
      <w:bookmarkStart w:id="1" w:name="_Hlk125002641"/>
      <w:r w:rsidRPr="004B58E6">
        <w:rPr>
          <w:rFonts w:ascii="Calibri"/>
          <w:b/>
          <w:color w:val="F78F2C"/>
          <w:sz w:val="24"/>
          <w:szCs w:val="20"/>
        </w:rPr>
        <w:t>Abstract:</w:t>
      </w:r>
      <w:r w:rsidR="00B616D2" w:rsidRPr="00B616D2">
        <w:rPr>
          <w:noProof/>
          <w:color w:val="231F20"/>
        </w:rPr>
        <w:t xml:space="preserve"> </w:t>
      </w:r>
    </w:p>
    <w:bookmarkEnd w:id="1"/>
    <w:p w14:paraId="6EC16192" w14:textId="6EA9B189" w:rsidR="00E735B8" w:rsidRPr="00E735B8" w:rsidRDefault="006F125D" w:rsidP="00AD39B1">
      <w:pPr>
        <w:pStyle w:val="2"/>
        <w:spacing w:before="116"/>
        <w:ind w:left="136" w:firstLineChars="200" w:firstLine="480"/>
        <w:rPr>
          <w:b w:val="0"/>
          <w:bCs w:val="0"/>
          <w:color w:val="231F20"/>
        </w:rPr>
      </w:pPr>
      <w:r>
        <w:rPr>
          <w:b w:val="0"/>
          <w:bCs w:val="0"/>
          <w:color w:val="231F20"/>
        </w:rPr>
        <w:t>The</w:t>
      </w:r>
      <w:r w:rsidR="00E735B8" w:rsidRPr="00E735B8">
        <w:rPr>
          <w:b w:val="0"/>
          <w:bCs w:val="0"/>
          <w:color w:val="231F20"/>
        </w:rPr>
        <w:t xml:space="preserve"> primary concern in soft tissue fillers injection</w:t>
      </w:r>
      <w:r>
        <w:rPr>
          <w:b w:val="0"/>
          <w:bCs w:val="0"/>
          <w:color w:val="231F20"/>
        </w:rPr>
        <w:t xml:space="preserve"> and fat grafting</w:t>
      </w:r>
      <w:r w:rsidR="00E735B8" w:rsidRPr="00E735B8">
        <w:rPr>
          <w:b w:val="0"/>
          <w:bCs w:val="0"/>
          <w:color w:val="231F20"/>
        </w:rPr>
        <w:t xml:space="preserve"> is the potentially severe complications that immediately happen during the procedures, such as tissue (skin) necrosis, sudden blindness, and brain infarction due to the incidental intravascular injection. One per million injections in literature for these devastating complications were estimated. Once these disasters happen, there are no promising, effective, in-time rescue strategies.</w:t>
      </w:r>
    </w:p>
    <w:p w14:paraId="393EB473" w14:textId="13759363" w:rsidR="00E735B8" w:rsidRPr="00E735B8" w:rsidRDefault="00E735B8" w:rsidP="00AD39B1">
      <w:pPr>
        <w:pStyle w:val="2"/>
        <w:spacing w:before="116"/>
        <w:ind w:left="136" w:firstLineChars="200" w:firstLine="480"/>
        <w:rPr>
          <w:b w:val="0"/>
          <w:bCs w:val="0"/>
          <w:color w:val="231F20"/>
        </w:rPr>
      </w:pPr>
      <w:r w:rsidRPr="00E735B8">
        <w:rPr>
          <w:b w:val="0"/>
          <w:bCs w:val="0"/>
          <w:color w:val="231F20"/>
        </w:rPr>
        <w:t>Lin et al. proposed micro-autologous fat transplantation, MAFT was proposed in 2007, and the innovative instrument based on MAFT has been developed and deployed clinically. The indispensability and feasibility of this technique have been demonstrated in many satisfactory clinical applications in facial recontouring and rejuvenation and aesthetic/reconstructive breast augmentation.</w:t>
      </w:r>
      <w:r w:rsidR="006F125D">
        <w:rPr>
          <w:b w:val="0"/>
          <w:bCs w:val="0"/>
          <w:color w:val="231F20"/>
        </w:rPr>
        <w:t xml:space="preserve"> </w:t>
      </w:r>
      <w:r w:rsidRPr="00E735B8">
        <w:rPr>
          <w:b w:val="0"/>
          <w:bCs w:val="0"/>
          <w:color w:val="231F20"/>
        </w:rPr>
        <w:t>Based on the precision, miniature, and consistency in each delivered parcel (ranging from 1/60, 1/90, 1/120, 1/150, 1/180, and 1/240 mL), the technique deployed in soft tissue fillers offers another critical issue in safety injection.</w:t>
      </w:r>
    </w:p>
    <w:p w14:paraId="359D73D9" w14:textId="4A8537E0" w:rsidR="00E735B8" w:rsidRDefault="00E735B8" w:rsidP="00AD39B1">
      <w:pPr>
        <w:pStyle w:val="2"/>
        <w:spacing w:before="116"/>
        <w:ind w:left="136" w:firstLineChars="200" w:firstLine="480"/>
        <w:rPr>
          <w:b w:val="0"/>
          <w:bCs w:val="0"/>
          <w:color w:val="231F20"/>
        </w:rPr>
      </w:pPr>
      <w:r w:rsidRPr="00E735B8">
        <w:rPr>
          <w:rFonts w:hint="eastAsia"/>
          <w:b w:val="0"/>
          <w:bCs w:val="0"/>
          <w:color w:val="231F20"/>
        </w:rPr>
        <w:t>I</w:t>
      </w:r>
      <w:r w:rsidRPr="00E735B8">
        <w:rPr>
          <w:b w:val="0"/>
          <w:bCs w:val="0"/>
          <w:color w:val="231F20"/>
        </w:rPr>
        <w:t>n this presentation, the author will further propose the three concepts and strategies based on the MAFT technique in correctly determining cannulas but not needles, precise control of the parcel volume (small to 1/240 mL per parcel), and the anatomically based on the choice of cannula size. Hopefully, the highlighting viewpoints might further illustrate standard rules for preventing the severe complications of soft tissue filler in the future.</w:t>
      </w:r>
    </w:p>
    <w:p w14:paraId="5CE12C6B" w14:textId="77777777" w:rsidR="00741EAE" w:rsidRPr="00741EAE" w:rsidRDefault="00741EAE" w:rsidP="00741EAE">
      <w:pPr>
        <w:spacing w:before="166" w:line="206" w:lineRule="auto"/>
        <w:ind w:left="136"/>
        <w:rPr>
          <w:rFonts w:ascii="Calibri"/>
          <w:bCs/>
          <w:color w:val="F78F2C"/>
          <w:sz w:val="24"/>
          <w:szCs w:val="20"/>
        </w:rPr>
      </w:pPr>
      <w:r w:rsidRPr="00741EAE">
        <w:rPr>
          <w:rFonts w:ascii="Calibri"/>
          <w:b/>
          <w:color w:val="F78F2C"/>
          <w:sz w:val="24"/>
          <w:szCs w:val="20"/>
        </w:rPr>
        <w:t>Biography:</w:t>
      </w:r>
    </w:p>
    <w:p w14:paraId="73BD58CD" w14:textId="27C8DC42" w:rsidR="00E735B8" w:rsidRPr="00741EAE" w:rsidRDefault="00741EAE" w:rsidP="00456644">
      <w:pPr>
        <w:spacing w:before="166" w:line="206" w:lineRule="auto"/>
        <w:ind w:left="136" w:firstLineChars="200" w:firstLine="480"/>
        <w:rPr>
          <w:rFonts w:ascii="Calibri" w:eastAsiaTheme="minorEastAsia" w:hAnsi="Calibri" w:cs="Calibri"/>
          <w:bCs/>
          <w:sz w:val="24"/>
          <w:szCs w:val="24"/>
          <w:lang w:eastAsia="zh-TW"/>
        </w:rPr>
      </w:pPr>
      <w:r w:rsidRPr="00741EAE">
        <w:rPr>
          <w:rFonts w:ascii="Calibri"/>
          <w:bCs/>
          <w:sz w:val="24"/>
          <w:szCs w:val="20"/>
        </w:rPr>
        <w:t>Tsai Ming Lin, M.D., Ph.D. is a board-certified plastic surgeon in Taiwan specializing in plastic, reconstructive and cosmetic surgeries and the director of the Charming Institute of Aesthetic &amp; Regenerative Surgery (CIARS) in Kaohsiung, Taiwan, and an assistant professor of Kaohsiung Medical University. He is best known for his theory of Micro-Autologous Fat Transplantation (MAFT), and he is also the inventor of MAFT-GUN, a micro-scale injector. Lin has published over twenty SCI articles or textbook chapters related to the clinical applications of the MAFT technique.</w:t>
      </w:r>
      <w:r>
        <w:rPr>
          <w:rFonts w:ascii="Calibri"/>
          <w:bCs/>
          <w:sz w:val="24"/>
          <w:szCs w:val="20"/>
        </w:rPr>
        <w:t xml:space="preserve"> </w:t>
      </w:r>
      <w:r w:rsidRPr="00741EAE">
        <w:rPr>
          <w:rFonts w:ascii="Calibri"/>
          <w:bCs/>
          <w:sz w:val="24"/>
          <w:szCs w:val="20"/>
        </w:rPr>
        <w:t>He is now a member of the Taiwan Surgical Association, Taiwan Society of Plastic Surgery, Taiwan Society of Aesthetic Plastic Surgery, International Society of Aesthetic Plastic Surgery (ISAPS), American Society of Plastic Surgeons (ASPS), and the International Society of Plastic and Regenerative Surgery (ISPRES). Dr. Lin is an editorial board member of the journal of Aesthetic Plastic Surgery.</w:t>
      </w:r>
    </w:p>
    <w:sectPr w:rsidR="00E735B8" w:rsidRPr="00741EAE" w:rsidSect="0046705E">
      <w:pgSz w:w="11906" w:h="16838"/>
      <w:pgMar w:top="1134" w:right="1134"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3E3A38" w14:textId="77777777" w:rsidR="003D2BFB" w:rsidRDefault="003D2BFB" w:rsidP="00D53CA6">
      <w:r>
        <w:separator/>
      </w:r>
    </w:p>
  </w:endnote>
  <w:endnote w:type="continuationSeparator" w:id="0">
    <w:p w14:paraId="53656700" w14:textId="77777777" w:rsidR="003D2BFB" w:rsidRDefault="003D2BFB" w:rsidP="00D53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oudy Old Style">
    <w:altName w:val="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71AAA" w14:textId="77777777" w:rsidR="003D2BFB" w:rsidRDefault="003D2BFB" w:rsidP="00D53CA6">
      <w:r>
        <w:separator/>
      </w:r>
    </w:p>
  </w:footnote>
  <w:footnote w:type="continuationSeparator" w:id="0">
    <w:p w14:paraId="2D05886D" w14:textId="77777777" w:rsidR="003D2BFB" w:rsidRDefault="003D2BFB" w:rsidP="00D53C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1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A1NbI0Nrc0tzC1NDNR0lEKTi0uzszPAykwrgUA226wNSwAAAA="/>
  </w:docVars>
  <w:rsids>
    <w:rsidRoot w:val="00D72A82"/>
    <w:rsid w:val="00087432"/>
    <w:rsid w:val="002D25B8"/>
    <w:rsid w:val="00374A16"/>
    <w:rsid w:val="003D2BFB"/>
    <w:rsid w:val="00456644"/>
    <w:rsid w:val="0046705E"/>
    <w:rsid w:val="004B58E6"/>
    <w:rsid w:val="005030E9"/>
    <w:rsid w:val="00645FA8"/>
    <w:rsid w:val="006F125D"/>
    <w:rsid w:val="00741EAE"/>
    <w:rsid w:val="00925E16"/>
    <w:rsid w:val="00AD39B1"/>
    <w:rsid w:val="00B616D2"/>
    <w:rsid w:val="00D53CA6"/>
    <w:rsid w:val="00D72A82"/>
    <w:rsid w:val="00DE0FFF"/>
    <w:rsid w:val="00E735B8"/>
    <w:rsid w:val="00FD0B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E322F"/>
  <w15:chartTrackingRefBased/>
  <w15:docId w15:val="{3537E7B7-EEE3-4658-863A-A865D5E62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58E6"/>
    <w:pPr>
      <w:widowControl w:val="0"/>
      <w:autoSpaceDE w:val="0"/>
      <w:autoSpaceDN w:val="0"/>
    </w:pPr>
    <w:rPr>
      <w:rFonts w:ascii="Goudy Old Style" w:eastAsia="Goudy Old Style" w:hAnsi="Goudy Old Style" w:cs="Goudy Old Style"/>
      <w:kern w:val="0"/>
      <w:sz w:val="22"/>
      <w:lang w:eastAsia="en-US" w:bidi="en-US"/>
    </w:rPr>
  </w:style>
  <w:style w:type="paragraph" w:styleId="1">
    <w:name w:val="heading 1"/>
    <w:basedOn w:val="a"/>
    <w:link w:val="10"/>
    <w:uiPriority w:val="9"/>
    <w:qFormat/>
    <w:rsid w:val="00D72A82"/>
    <w:pPr>
      <w:ind w:left="136"/>
      <w:outlineLvl w:val="0"/>
    </w:pPr>
    <w:rPr>
      <w:rFonts w:ascii="Calibri" w:eastAsia="Calibri" w:hAnsi="Calibri" w:cs="Calibri"/>
      <w:b/>
      <w:bCs/>
      <w:sz w:val="28"/>
      <w:szCs w:val="28"/>
    </w:rPr>
  </w:style>
  <w:style w:type="paragraph" w:styleId="2">
    <w:name w:val="heading 2"/>
    <w:basedOn w:val="a"/>
    <w:link w:val="20"/>
    <w:uiPriority w:val="9"/>
    <w:unhideWhenUsed/>
    <w:qFormat/>
    <w:rsid w:val="00D72A82"/>
    <w:pPr>
      <w:spacing w:before="3"/>
      <w:ind w:left="100"/>
      <w:outlineLvl w:val="1"/>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D72A82"/>
    <w:rPr>
      <w:rFonts w:ascii="Calibri" w:eastAsia="Calibri" w:hAnsi="Calibri" w:cs="Calibri"/>
      <w:b/>
      <w:bCs/>
      <w:kern w:val="0"/>
      <w:sz w:val="28"/>
      <w:szCs w:val="28"/>
      <w:lang w:eastAsia="en-US" w:bidi="en-US"/>
    </w:rPr>
  </w:style>
  <w:style w:type="character" w:customStyle="1" w:styleId="20">
    <w:name w:val="標題 2 字元"/>
    <w:basedOn w:val="a0"/>
    <w:link w:val="2"/>
    <w:uiPriority w:val="9"/>
    <w:rsid w:val="00D72A82"/>
    <w:rPr>
      <w:rFonts w:ascii="Calibri" w:eastAsia="Calibri" w:hAnsi="Calibri" w:cs="Calibri"/>
      <w:b/>
      <w:bCs/>
      <w:kern w:val="0"/>
      <w:szCs w:val="24"/>
      <w:lang w:eastAsia="en-US" w:bidi="en-US"/>
    </w:rPr>
  </w:style>
  <w:style w:type="paragraph" w:styleId="a3">
    <w:name w:val="Body Text"/>
    <w:basedOn w:val="a"/>
    <w:link w:val="a4"/>
    <w:uiPriority w:val="1"/>
    <w:qFormat/>
    <w:rsid w:val="00D72A82"/>
    <w:pPr>
      <w:spacing w:before="114"/>
      <w:ind w:left="460"/>
      <w:jc w:val="both"/>
    </w:pPr>
    <w:rPr>
      <w:sz w:val="24"/>
      <w:szCs w:val="24"/>
    </w:rPr>
  </w:style>
  <w:style w:type="character" w:customStyle="1" w:styleId="a4">
    <w:name w:val="本文 字元"/>
    <w:basedOn w:val="a0"/>
    <w:link w:val="a3"/>
    <w:uiPriority w:val="1"/>
    <w:rsid w:val="00D72A82"/>
    <w:rPr>
      <w:rFonts w:ascii="Goudy Old Style" w:eastAsia="Goudy Old Style" w:hAnsi="Goudy Old Style" w:cs="Goudy Old Style"/>
      <w:kern w:val="0"/>
      <w:szCs w:val="24"/>
      <w:lang w:eastAsia="en-US" w:bidi="en-US"/>
    </w:rPr>
  </w:style>
  <w:style w:type="paragraph" w:styleId="a5">
    <w:name w:val="header"/>
    <w:basedOn w:val="a"/>
    <w:link w:val="a6"/>
    <w:uiPriority w:val="99"/>
    <w:unhideWhenUsed/>
    <w:rsid w:val="00D53CA6"/>
    <w:pPr>
      <w:tabs>
        <w:tab w:val="center" w:pos="4513"/>
        <w:tab w:val="right" w:pos="9026"/>
      </w:tabs>
      <w:snapToGrid w:val="0"/>
    </w:pPr>
    <w:rPr>
      <w:sz w:val="20"/>
      <w:szCs w:val="20"/>
    </w:rPr>
  </w:style>
  <w:style w:type="character" w:customStyle="1" w:styleId="a6">
    <w:name w:val="頁首 字元"/>
    <w:basedOn w:val="a0"/>
    <w:link w:val="a5"/>
    <w:uiPriority w:val="99"/>
    <w:rsid w:val="00D53CA6"/>
    <w:rPr>
      <w:rFonts w:ascii="Goudy Old Style" w:eastAsia="Goudy Old Style" w:hAnsi="Goudy Old Style" w:cs="Goudy Old Style"/>
      <w:kern w:val="0"/>
      <w:sz w:val="20"/>
      <w:szCs w:val="20"/>
      <w:lang w:eastAsia="en-US" w:bidi="en-US"/>
    </w:rPr>
  </w:style>
  <w:style w:type="paragraph" w:styleId="a7">
    <w:name w:val="footer"/>
    <w:basedOn w:val="a"/>
    <w:link w:val="a8"/>
    <w:uiPriority w:val="99"/>
    <w:unhideWhenUsed/>
    <w:rsid w:val="00D53CA6"/>
    <w:pPr>
      <w:tabs>
        <w:tab w:val="center" w:pos="4513"/>
        <w:tab w:val="right" w:pos="9026"/>
      </w:tabs>
      <w:snapToGrid w:val="0"/>
    </w:pPr>
    <w:rPr>
      <w:sz w:val="20"/>
      <w:szCs w:val="20"/>
    </w:rPr>
  </w:style>
  <w:style w:type="character" w:customStyle="1" w:styleId="a8">
    <w:name w:val="頁尾 字元"/>
    <w:basedOn w:val="a0"/>
    <w:link w:val="a7"/>
    <w:uiPriority w:val="99"/>
    <w:rsid w:val="00D53CA6"/>
    <w:rPr>
      <w:rFonts w:ascii="Goudy Old Style" w:eastAsia="Goudy Old Style" w:hAnsi="Goudy Old Style" w:cs="Goudy Old Style"/>
      <w:kern w:val="0"/>
      <w:sz w:val="20"/>
      <w:szCs w:val="20"/>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64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412</Words>
  <Characters>2352</Characters>
  <Application>Microsoft Office Word</Application>
  <DocSecurity>0</DocSecurity>
  <Lines>19</Lines>
  <Paragraphs>5</Paragraphs>
  <ScaleCrop>false</ScaleCrop>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才民 林</dc:creator>
  <cp:keywords/>
  <dc:description/>
  <cp:lastModifiedBy>2019.12</cp:lastModifiedBy>
  <cp:revision>10</cp:revision>
  <dcterms:created xsi:type="dcterms:W3CDTF">2023-01-18T22:34:00Z</dcterms:created>
  <dcterms:modified xsi:type="dcterms:W3CDTF">2023-01-20T01:49:00Z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219eb16d-b17c-4887-9ff9-56f57ed9bfff</vt:lpwstr>
  </property>
</Properties>
</file>