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footnotes.xml" ContentType="application/vnd.openxmlformats-officedocument.wordprocessingml.footnot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rPr>
          <w:lang w:val="en"/>
          <w:color w:val="000000"/>
          <w:sz w:val="32"/>
          <w:szCs w:val="32"/>
        </w:rPr>
      </w:pPr>
      <w:r>
        <w:rPr>
          <w:sz w:val="32"/>
          <w:szCs w:val="32"/>
        </w:rPr>
        <w:t xml:space="preserve">TITLE : </w:t>
      </w:r>
      <w:r>
        <w:rPr>
          <w:color w:val="000000"/>
          <w:sz w:val="32"/>
          <w:szCs w:val="32"/>
        </w:rPr>
        <w:t xml:space="preserve">a case of </w:t>
      </w:r>
      <w:r>
        <w:rPr>
          <w:lang w:val="en"/>
          <w:color w:val="000000"/>
          <w:sz w:val="32"/>
          <w:szCs w:val="32"/>
        </w:rPr>
        <w:t>Griscelli Syndrome Type 3</w:t>
      </w:r>
    </w:p>
    <w:p>
      <w:pPr>
        <w:rPr>
          <w:lang w:val="en"/>
          <w:color w:val="000000"/>
          <w:sz w:val="24"/>
          <w:szCs w:val="24"/>
        </w:rPr>
      </w:pPr>
      <w:r>
        <w:rPr>
          <w:lang w:val="en"/>
          <w:color w:val="000000"/>
          <w:sz w:val="32"/>
          <w:szCs w:val="32"/>
        </w:rPr>
        <w:t xml:space="preserve">By: </w:t>
      </w:r>
      <w:r>
        <w:rPr>
          <w:lang w:val="en"/>
          <w:color w:val="000000"/>
          <w:sz w:val="24"/>
          <w:szCs w:val="24"/>
        </w:rPr>
        <w:t>Kidist Yeneneh, MD,</w:t>
      </w:r>
      <w:r>
        <w:rPr>
          <w:lang w:val="en"/>
          <w:color w:val="000000"/>
          <w:sz w:val="24"/>
          <w:szCs w:val="24"/>
          <w:rtl w:val="off"/>
        </w:rPr>
        <w:t xml:space="preserve">dermatologist </w:t>
      </w:r>
    </w:p>
    <w:p>
      <w:pPr>
        <w:rPr>
          <w:lang w:val="en"/>
          <w:color w:val="000000"/>
          <w:sz w:val="24"/>
          <w:szCs w:val="24"/>
        </w:rPr>
      </w:pPr>
      <w:r>
        <w:rPr>
          <w:lang w:val="en"/>
          <w:color w:val="000000"/>
          <w:sz w:val="24"/>
          <w:szCs w:val="24"/>
        </w:rPr>
        <w:t xml:space="preserve">        Department of  Dermatovenerology,</w:t>
      </w:r>
    </w:p>
    <w:p>
      <w:pPr>
        <w:rPr>
          <w:lang w:val="en"/>
          <w:color w:val="000000"/>
          <w:sz w:val="24"/>
          <w:szCs w:val="24"/>
        </w:rPr>
      </w:pPr>
      <w:r>
        <w:rPr>
          <w:lang w:val="en"/>
          <w:color w:val="000000"/>
          <w:sz w:val="24"/>
          <w:szCs w:val="24"/>
        </w:rPr>
        <w:t>Personal qualification: I took my first degree from Gondar university hospital</w:t>
      </w:r>
      <w:r>
        <w:rPr>
          <w:lang w:val="en"/>
          <w:color w:val="000000"/>
          <w:sz w:val="24"/>
          <w:szCs w:val="24"/>
          <w:rtl w:val="off"/>
        </w:rPr>
        <w:t>.</w:t>
      </w:r>
    </w:p>
    <w:p>
      <w:pPr>
        <w:rPr>
          <w:lang w:val="en"/>
          <w:color w:val="000000"/>
          <w:sz w:val="24"/>
          <w:szCs w:val="24"/>
          <w:rtl w:val="off"/>
        </w:rPr>
      </w:pPr>
      <w:r>
        <w:rPr>
          <w:lang w:val="en"/>
          <w:color w:val="000000"/>
          <w:sz w:val="24"/>
          <w:szCs w:val="24"/>
          <w:rtl w:val="off"/>
        </w:rPr>
        <w:t>I served as a lecture in gondar university for 2 years.</w:t>
      </w:r>
    </w:p>
    <w:p>
      <w:pPr>
        <w:rPr>
          <w:lang w:val="en"/>
          <w:color w:val="000000"/>
          <w:sz w:val="24"/>
          <w:szCs w:val="24"/>
        </w:rPr>
      </w:pPr>
      <w:r>
        <w:rPr>
          <w:lang w:val="en"/>
          <w:color w:val="000000"/>
          <w:sz w:val="24"/>
          <w:szCs w:val="24"/>
          <w:rtl w:val="off"/>
        </w:rPr>
        <w:t xml:space="preserve">I studied my speciality in Addis Ababa  Black lion hospital </w:t>
      </w:r>
      <w:r>
        <w:rPr>
          <w:rStyle w:val="footnote reference"/>
          <w:lang w:val="en"/>
          <w:color w:val="000000"/>
          <w:sz w:val="24"/>
          <w:szCs w:val="24"/>
        </w:rPr>
        <w:footnoteReference w:id="1"/>
      </w:r>
    </w:p>
    <w:p>
      <w:pPr>
        <w:rPr>
          <w:sz w:val="24"/>
          <w:szCs w:val="24"/>
        </w:rPr>
      </w:pPr>
      <w:r>
        <w:rPr>
          <w:sz w:val="32"/>
          <w:szCs w:val="32"/>
        </w:rPr>
        <w:t xml:space="preserve">Back ground </w:t>
      </w:r>
      <w:r>
        <w:rPr>
          <w:sz w:val="40"/>
          <w:szCs w:val="40"/>
        </w:rPr>
        <w:t xml:space="preserve">: </w:t>
      </w:r>
      <w:r>
        <w:rPr>
          <w:sz w:val="24"/>
          <w:szCs w:val="24"/>
        </w:rPr>
        <w:t xml:space="preserve">  Griscelli syndrome (GS) is a rare  autosomal recessive multisystem genetic disorder which is characterzed by  partial albinism of hair and skin along with neurological and/or immunological defects.</w:t>
      </w:r>
    </w:p>
    <w:p>
      <w:pPr>
        <w:rPr>
          <w:sz w:val="24"/>
          <w:szCs w:val="24"/>
        </w:rPr>
      </w:pPr>
      <w:r>
        <w:rPr>
          <w:rFonts w:cs="Segoe UI"/>
          <w:color w:val="212529"/>
          <w:sz w:val="24"/>
          <w:szCs w:val="24"/>
        </w:rPr>
        <w:t xml:space="preserve">Three types of this disorder are distinguished by its genetic cause and pattern of signs and symptoms . </w:t>
      </w:r>
      <w:r>
        <w:rPr>
          <w:sz w:val="24"/>
          <w:szCs w:val="24"/>
        </w:rPr>
        <w:t xml:space="preserve"> </w:t>
      </w:r>
      <w:r>
        <w:rPr>
          <w:lang w:val="en"/>
          <w:rFonts w:eastAsia="Times New Roman" w:cs="Segoe UI"/>
          <w:color w:val="212529"/>
          <w:sz w:val="24"/>
          <w:szCs w:val="24"/>
        </w:rPr>
        <w:t xml:space="preserve">Patients with GS type 1 have primary central nervous system dysfunction, resulting from mutations in the MYO5A gene. Type 2 patients commonly develop hemophagocytic </w:t>
      </w:r>
      <w:r>
        <w:rPr>
          <w:lang w:val="en"/>
          <w:rFonts w:eastAsia="Times New Roman" w:cs="Segoe UI"/>
          <w:color w:val="212529"/>
          <w:sz w:val="24"/>
          <w:szCs w:val="24"/>
        </w:rPr>
        <w:fldChar w:fldCharType="begin"/>
      </w:r>
      <w:r>
        <w:rPr>
          <w:lang w:val="en"/>
          <w:rFonts w:eastAsia="Times New Roman" w:cs="Segoe UI"/>
          <w:color w:val="212529"/>
          <w:sz w:val="24"/>
          <w:szCs w:val="24"/>
        </w:rPr>
        <w:instrText xml:space="preserve"> HYPERLINK "mhtml:file://C:\\Users\\kidest\\Desktop\\griscellii\\Griscelli Syndrome Type 3_ A Case Report from Kingdom of Saudi Arabia _ OMICS International.mhtml!https://www.omicsonline.org/clinical-case-reports.php" </w:instrText>
      </w:r>
      <w:r>
        <w:rPr>
          <w:lang w:val="en"/>
          <w:rFonts w:eastAsia="Times New Roman" w:cs="Segoe UI"/>
          <w:color w:val="212529"/>
          <w:sz w:val="24"/>
          <w:szCs w:val="24"/>
        </w:rPr>
        <w:fldChar w:fldCharType="separate"/>
      </w:r>
      <w:r>
        <w:rPr>
          <w:rStyle w:val="Hyperlink"/>
          <w:lang w:val="en"/>
          <w:rFonts w:eastAsia="Times New Roman" w:cs="Segoe UI"/>
          <w:color w:val="auto"/>
          <w:sz w:val="24"/>
          <w:szCs w:val="24"/>
          <w:u w:val="none" w:color="auto"/>
        </w:rPr>
        <w:t>Lymphohistiocytosis</w:t>
      </w:r>
      <w:r>
        <w:rPr>
          <w:rStyle w:val="Hyperlink"/>
          <w:lang w:val="en"/>
          <w:rFonts w:eastAsia="Times New Roman" w:cs="Segoe UI"/>
          <w:color w:val="auto"/>
          <w:sz w:val="24"/>
          <w:szCs w:val="24"/>
          <w:u w:val="none" w:color="auto"/>
        </w:rPr>
        <w:fldChar w:fldCharType="end"/>
      </w:r>
      <w:r>
        <w:rPr>
          <w:lang w:val="en"/>
          <w:rFonts w:eastAsia="Times New Roman" w:cs="Segoe UI"/>
          <w:color w:val="212529"/>
          <w:sz w:val="24"/>
          <w:szCs w:val="24"/>
        </w:rPr>
        <w:t>, caused by mutations in the RAB27A gene, and type 3 have only light skin and silvery hair color  resulting from mutations in the MLPH.</w:t>
      </w:r>
    </w:p>
    <w:p>
      <w:pPr>
        <w:spacing w:after="0" w:line="240" w:lineRule="auto"/>
        <w:rPr>
          <w:rFonts w:eastAsia="Times New Roman" w:cs="Segoe UI"/>
          <w:color w:val="212529"/>
          <w:sz w:val="24"/>
          <w:szCs w:val="24"/>
        </w:rPr>
      </w:pPr>
      <w:r>
        <w:rPr>
          <w:lang w:val="en"/>
          <w:rFonts w:eastAsia="Times New Roman" w:cs="Segoe UI"/>
          <w:color w:val="212529"/>
          <w:sz w:val="32"/>
          <w:szCs w:val="32"/>
        </w:rPr>
        <w:t xml:space="preserve">Case Description:  </w:t>
      </w:r>
      <w:r>
        <w:rPr>
          <w:rFonts w:eastAsia="Times New Roman" w:cs="Segoe UI"/>
          <w:color w:val="212529"/>
          <w:sz w:val="24"/>
          <w:szCs w:val="24"/>
        </w:rPr>
        <w:t xml:space="preserve">Sixteen Years old and Fifteen years old non twin sisters , visited ALERT hospital OPD for the compliant of skin and hair discolorations since childhood . </w:t>
      </w:r>
      <w:r>
        <w:rPr>
          <w:rFonts w:eastAsia="Times New Roman" w:cs="Segoe UI"/>
          <w:color w:val="212529"/>
          <w:sz w:val="24"/>
          <w:szCs w:val="24"/>
        </w:rPr>
        <w:br/>
      </w:r>
      <w:r>
        <w:rPr>
          <w:rFonts w:eastAsia="Times New Roman" w:cs="Segoe UI"/>
          <w:color w:val="212529"/>
          <w:sz w:val="24"/>
          <w:szCs w:val="24"/>
        </w:rPr>
        <w:t xml:space="preserve">Physical examination  of  both sisters revealed silvery-gray hair including the scalp hair, eyebrows and eyelashes with diffuse hypopigmentation of skin. </w:t>
      </w:r>
    </w:p>
    <w:p>
      <w:pPr>
        <w:spacing w:after="0" w:line="240" w:lineRule="auto"/>
        <w:rPr>
          <w:rFonts w:eastAsia="Times New Roman" w:cs="Segoe UI"/>
          <w:color w:val="212529"/>
          <w:sz w:val="24"/>
          <w:szCs w:val="24"/>
        </w:rPr>
      </w:pPr>
      <w:r>
        <w:rPr>
          <w:rFonts w:eastAsia="Times New Roman" w:cs="Segoe UI"/>
          <w:color w:val="212529"/>
          <w:sz w:val="24"/>
          <w:szCs w:val="24"/>
        </w:rPr>
        <w:t>Their investigations revealed normal  blood count, differential and peripheral blood smear. Both CT and MRI of the brain are normal  for both sisters.</w:t>
      </w:r>
    </w:p>
    <w:p>
      <w:pPr>
        <w:spacing w:after="0" w:line="240" w:lineRule="auto"/>
        <w:rPr>
          <w:rFonts w:eastAsia="Times New Roman" w:cs="Segoe UI"/>
          <w:color w:val="212529"/>
          <w:sz w:val="24"/>
          <w:szCs w:val="24"/>
        </w:rPr>
      </w:pPr>
      <w:r>
        <w:rPr>
          <w:rFonts w:eastAsia="Times New Roman" w:cs="Segoe UI"/>
          <w:color w:val="212529"/>
          <w:sz w:val="24"/>
          <w:szCs w:val="24"/>
        </w:rPr>
        <w:t>Light microscopy examination of their hair showed large clumps of pigment irregularly distributed along the hair shaft.  Histopathologic  result from skin biopsy showed melanocytes at basal layer are enlarged and hyper pigmented  with no or markedly  reduced pigmentation of adjacent keratinocytes for both sisters.</w:t>
      </w:r>
    </w:p>
    <w:p>
      <w:pPr>
        <w:spacing w:after="0" w:line="240" w:lineRule="auto"/>
        <w:rPr>
          <w:rFonts w:eastAsia="Times New Roman" w:cs="Segoe UI"/>
          <w:color w:val="212529"/>
          <w:sz w:val="24"/>
          <w:szCs w:val="24"/>
        </w:rPr>
      </w:pPr>
      <w:r>
        <w:rPr>
          <w:rFonts w:eastAsia="Times New Roman" w:cs="Segoe UI"/>
          <w:color w:val="212529"/>
          <w:sz w:val="24"/>
          <w:szCs w:val="24"/>
        </w:rPr>
        <w:t>Genomic DNA sequencing of the sixteen years old girl  revealed a homozygous single nucleotide transition ,c.104G&gt;A, in exon 2 of MLHP. This change leads to an arginine substitution by glutamine, p.Arg35GIn ,with in the conserved  Slp  homology domain of melanophilin . Her sibling has the same homozygous missense mutation.</w:t>
      </w:r>
    </w:p>
    <w:p>
      <w:pPr>
        <w:spacing w:after="0" w:line="240" w:lineRule="auto"/>
        <w:rPr>
          <w:rFonts w:eastAsia="Times New Roman" w:cs="Segoe UI"/>
          <w:color w:val="212529"/>
          <w:sz w:val="24"/>
          <w:szCs w:val="24"/>
        </w:rPr>
      </w:pPr>
    </w:p>
    <w:p>
      <w:r>
        <w:rPr>
          <w:lang w:val="en"/>
          <w:rFonts w:eastAsia="Times New Roman" w:cs="Segoe UI"/>
          <w:color w:val="212529"/>
          <w:sz w:val="32"/>
          <w:szCs w:val="32"/>
        </w:rPr>
        <w:t xml:space="preserve">Conclusion: </w:t>
      </w:r>
      <w:r>
        <w:rPr>
          <w:lang w:val="en"/>
          <w:rFonts w:eastAsia="Times New Roman" w:cs="Segoe UI"/>
          <w:color w:val="212529"/>
          <w:sz w:val="24"/>
          <w:szCs w:val="24"/>
        </w:rPr>
        <w:t>Only one pathogenic mutation in MLPH has been reported previously in Griscelli syndrome type 3.That mutation was P.Arg35Trp and was observed in a French-Turkish individual as  well as several affected people in Arab pedigree. Functional studies confirmed that disruption of p.Arg35GIn in these two Ethiopian sisters is also pathogenic .Griscelli syndrome type 3 is not associated with neurological or immunological abnormalities.</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Segoe UI">
    <w:panose1 w:val="020B0502040204020203"/>
    <w:family w:val="swiss"/>
    <w:charset w:val="00"/>
    <w:notTrueType w:val="false"/>
    <w:sig w:usb0="E10022FF" w:usb1="C000E47F" w:usb2="00000029" w:usb3="00000001" w:csb0="200001DF" w:csb1="20000000"/>
  </w:font>
  <w:font w:name="Times New Roman">
    <w:panose1 w:val="02020603050405020304"/>
    <w:family w:val="roman"/>
    <w:charset w:val="00"/>
    <w:notTrueType w:val="false"/>
    <w:sig w:usb0="00007A87" w:usb1="80000000" w:usb2="00000008" w:usb3="00000001"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footnote w:type="separator" w:id="-1">
    <w:p>
      <w:pPr>
        <w:spacing w:after="0" w:line="240" w:lineRule="auto"/>
      </w:pPr>
      <w:r>
        <w:separator/>
      </w:r>
    </w:p>
  </w:footnote>
  <w:footnote w:type="continuationSeparator" w:id="0">
    <w:p>
      <w:pPr>
        <w:spacing w:after="0" w:line="240" w:lineRule="auto"/>
      </w:pPr>
      <w:r>
        <w:continuationSeparator/>
      </w:r>
    </w:p>
  </w:footnote>
  <w:footnote w:id="1">
    <w:p>
      <w:pPr>
        <w:rPr/>
      </w:pPr>
      <w:r>
        <w:rPr>
          <w:rStyle w:val="footnote reference"/>
        </w:rPr>
        <w:footnoteRef/>
      </w:r>
      <w:r>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90"/>
  <w:removePersonalInformation/>
  <w:bordersDontSurroundHeader/>
  <w:bordersDontSurroundFooter/>
  <w:hideGrammaticalErrors/>
  <w:proofState w:spelling="clean" w:grammar="clean"/>
  <w:defaultTabStop w:val="720"/>
  <w:doNotUseMarginsForDrawingGridOrigi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en-US" w:bidi="ar-SA"/>
        <w:rFonts w:asciiTheme="minorHAnsi" w:eastAsiaTheme="minorHAnsi" w:hAnsiTheme="minorHAnsi" w:cstheme="minorBidi"/>
        <w:sz w:val="22"/>
        <w:szCs w:val="22"/>
      </w:rPr>
    </w:rPrDefault>
    <w:pPrDefault>
      <w:pPr>
        <w:spacing w:after="200" w:line="276" w:lineRule="auto"/>
      </w:pPr>
    </w:pPrDefault>
  </w:docDefaults>
  <w:style w:type="paragraph" w:default="1" w:styleId="normal">
    <w:name w:val="Normal"/>
    <w:qFormat/>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semiHidden/>
    <w:unhideWhenUsed/>
    <w:rPr>
      <w:color w:val="0000FF"/>
      <w:u w:val="single" w:color="auto"/>
    </w:rPr>
  </w:style>
  <w:style w:type="character" w:styleId="footnote reference">
    <w:name w:val="footnote reference"/>
    <w:qFormat/>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ThinkFree Mobile Write</Application>
  <Company>Toshiba</Company>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kidest</dc:creator>
  <cp:keywords/>
  <dc:description/>
  <cp:lastModifiedBy>SM-G955U1</cp:lastModifiedBy>
  <cp:revision>1</cp:revision>
  <dcterms:created xsi:type="dcterms:W3CDTF">2019-07-11T20:04:00Z</dcterms:created>
  <dcterms:modified xsi:type="dcterms:W3CDTF">2022-01-15T08:40:39Z</dcterms:modified>
  <cp:version>04.2000</cp:version>
</cp:coreProperties>
</file>