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B5" w:rsidRPr="0005164C" w:rsidRDefault="00872267" w:rsidP="00861508">
      <w:pPr>
        <w:rPr>
          <w:rFonts w:eastAsia="MS Mincho"/>
          <w:b/>
          <w:sz w:val="22"/>
          <w:szCs w:val="22"/>
          <w:u w:val="single"/>
        </w:rPr>
      </w:pPr>
      <w:r>
        <w:rPr>
          <w:rFonts w:eastAsia="MS Mincho"/>
          <w:b/>
          <w:sz w:val="22"/>
          <w:szCs w:val="22"/>
          <w:u w:val="single"/>
        </w:rPr>
        <w:t>Abstract</w:t>
      </w:r>
    </w:p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872267" w:rsidRDefault="003C0794" w:rsidP="00872267">
      <w:pPr>
        <w:spacing w:line="480" w:lineRule="auto"/>
        <w:jc w:val="both"/>
        <w:rPr>
          <w:b/>
          <w:sz w:val="24"/>
          <w:szCs w:val="24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872267" w:rsidRPr="00A437BC">
        <w:rPr>
          <w:b/>
          <w:sz w:val="24"/>
          <w:szCs w:val="24"/>
        </w:rPr>
        <w:t>Is The Autologous Serum Skin Test Rational?</w:t>
      </w:r>
    </w:p>
    <w:p w:rsidR="003C0794" w:rsidRPr="003C0794" w:rsidRDefault="00872267" w:rsidP="003C0794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Demirkan S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Baççıoğlu A</w:t>
      </w:r>
      <w:r w:rsidRPr="00872267">
        <w:rPr>
          <w:b/>
          <w:bCs/>
          <w:sz w:val="19"/>
          <w:szCs w:val="19"/>
          <w:vertAlign w:val="superscript"/>
          <w:lang w:val="en-IN" w:eastAsia="en-IN"/>
        </w:rPr>
        <w:t>2</w:t>
      </w:r>
      <w:r>
        <w:rPr>
          <w:b/>
          <w:bCs/>
          <w:sz w:val="19"/>
          <w:szCs w:val="19"/>
          <w:lang w:val="en-IN" w:eastAsia="en-IN"/>
        </w:rPr>
        <w:t>.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</w:p>
    <w:p w:rsidR="003C0794" w:rsidRPr="00351E9B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351E9B">
        <w:rPr>
          <w:sz w:val="19"/>
          <w:szCs w:val="19"/>
          <w:lang w:val="en-IN" w:eastAsia="en-IN"/>
        </w:rPr>
        <w:t xml:space="preserve">Department of </w:t>
      </w:r>
      <w:r w:rsidR="00872267">
        <w:rPr>
          <w:sz w:val="19"/>
          <w:szCs w:val="19"/>
          <w:lang w:val="en-IN" w:eastAsia="en-IN"/>
        </w:rPr>
        <w:t>Dermatology and Venerology</w:t>
      </w:r>
      <w:r w:rsidR="009D49B8" w:rsidRPr="00351E9B">
        <w:rPr>
          <w:sz w:val="19"/>
          <w:szCs w:val="19"/>
          <w:lang w:val="en-IN" w:eastAsia="en-IN"/>
        </w:rPr>
        <w:t xml:space="preserve">, </w:t>
      </w:r>
      <w:r w:rsidR="00872267">
        <w:rPr>
          <w:sz w:val="19"/>
          <w:szCs w:val="19"/>
          <w:lang w:val="en-IN" w:eastAsia="en-IN"/>
        </w:rPr>
        <w:t>Kırıkkale University, Kırıkkale</w:t>
      </w:r>
      <w:r w:rsidR="009D49B8" w:rsidRPr="00351E9B">
        <w:rPr>
          <w:sz w:val="19"/>
          <w:szCs w:val="19"/>
          <w:lang w:val="en-IN" w:eastAsia="en-IN"/>
        </w:rPr>
        <w:t xml:space="preserve">, </w:t>
      </w:r>
      <w:r w:rsidR="00872267">
        <w:rPr>
          <w:sz w:val="19"/>
          <w:szCs w:val="19"/>
          <w:lang w:val="en-IN" w:eastAsia="en-IN"/>
        </w:rPr>
        <w:t>Turkey</w:t>
      </w:r>
    </w:p>
    <w:p w:rsidR="008A55B5" w:rsidRPr="00351E9B" w:rsidRDefault="003C0794" w:rsidP="00872267">
      <w:pPr>
        <w:shd w:val="clear" w:color="auto" w:fill="FFFFFF"/>
        <w:jc w:val="both"/>
        <w:rPr>
          <w:rFonts w:eastAsia="MS Mincho"/>
          <w:sz w:val="19"/>
          <w:szCs w:val="19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="009D49B8" w:rsidRPr="00351E9B">
        <w:rPr>
          <w:sz w:val="19"/>
          <w:szCs w:val="19"/>
          <w:lang w:val="en-IN" w:eastAsia="en-IN"/>
        </w:rPr>
        <w:t xml:space="preserve">Department of </w:t>
      </w:r>
      <w:r w:rsidR="00872267">
        <w:rPr>
          <w:sz w:val="19"/>
          <w:szCs w:val="19"/>
          <w:lang w:val="en-IN" w:eastAsia="en-IN"/>
        </w:rPr>
        <w:t>Allergology, Kırıkkale University, Kırıkkale</w:t>
      </w:r>
      <w:r w:rsidR="00872267" w:rsidRPr="00351E9B">
        <w:rPr>
          <w:sz w:val="19"/>
          <w:szCs w:val="19"/>
          <w:lang w:val="en-IN" w:eastAsia="en-IN"/>
        </w:rPr>
        <w:t xml:space="preserve">, </w:t>
      </w:r>
      <w:r w:rsidR="00872267">
        <w:rPr>
          <w:sz w:val="19"/>
          <w:szCs w:val="19"/>
          <w:lang w:val="en-IN" w:eastAsia="en-IN"/>
        </w:rPr>
        <w:t>Turkey</w:t>
      </w: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872267" w:rsidRPr="000456FD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Urticaria</w:t>
      </w:r>
      <w:r w:rsidRPr="000456FD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872267" w:rsidRPr="000456FD">
        <w:rPr>
          <w:i w:val="0"/>
          <w:sz w:val="19"/>
          <w:szCs w:val="19"/>
        </w:rPr>
        <w:t>Autologous serum skin test</w:t>
      </w:r>
      <w:r w:rsidR="00872267" w:rsidRPr="000456FD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 Thyroid test, B12, IgE.</w:t>
      </w: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</w:p>
    <w:p w:rsidR="0098350F" w:rsidRDefault="0098350F" w:rsidP="0098350F">
      <w:pPr>
        <w:jc w:val="both"/>
        <w:rPr>
          <w:sz w:val="19"/>
          <w:szCs w:val="19"/>
        </w:rPr>
      </w:pPr>
      <w:r w:rsidRPr="0098350F">
        <w:rPr>
          <w:sz w:val="19"/>
          <w:szCs w:val="19"/>
          <w:lang w:val="en-IN" w:eastAsia="en-IN"/>
        </w:rPr>
        <w:t xml:space="preserve">The present study investigated </w:t>
      </w:r>
      <w:r w:rsidR="005E6FAD" w:rsidRPr="0098350F">
        <w:rPr>
          <w:sz w:val="19"/>
          <w:szCs w:val="19"/>
        </w:rPr>
        <w:t xml:space="preserve"> the rationality of </w:t>
      </w:r>
      <w:r w:rsidRPr="0098350F">
        <w:rPr>
          <w:sz w:val="19"/>
          <w:szCs w:val="19"/>
        </w:rPr>
        <w:t xml:space="preserve"> ‘autologous serum skin test(</w:t>
      </w:r>
      <w:r w:rsidR="005E6FAD" w:rsidRPr="0098350F">
        <w:rPr>
          <w:sz w:val="19"/>
          <w:szCs w:val="19"/>
        </w:rPr>
        <w:t>AST</w:t>
      </w:r>
      <w:r w:rsidRPr="0098350F">
        <w:rPr>
          <w:sz w:val="19"/>
          <w:szCs w:val="19"/>
        </w:rPr>
        <w:t>)’ by comparing</w:t>
      </w:r>
      <w:r w:rsidR="005E6FAD" w:rsidRPr="0098350F">
        <w:rPr>
          <w:sz w:val="19"/>
          <w:szCs w:val="19"/>
        </w:rPr>
        <w:t xml:space="preserve"> positivity in </w:t>
      </w:r>
      <w:r w:rsidRPr="0098350F">
        <w:rPr>
          <w:sz w:val="19"/>
          <w:szCs w:val="19"/>
        </w:rPr>
        <w:t>chronic idiopathic urticarial(</w:t>
      </w:r>
      <w:r w:rsidR="005E6FAD" w:rsidRPr="0098350F">
        <w:rPr>
          <w:sz w:val="19"/>
          <w:szCs w:val="19"/>
        </w:rPr>
        <w:t>CIU</w:t>
      </w:r>
      <w:r w:rsidRPr="0098350F">
        <w:rPr>
          <w:sz w:val="19"/>
          <w:szCs w:val="19"/>
        </w:rPr>
        <w:t>)</w:t>
      </w:r>
      <w:r w:rsidR="005E6FAD" w:rsidRPr="0098350F">
        <w:rPr>
          <w:sz w:val="19"/>
          <w:szCs w:val="19"/>
        </w:rPr>
        <w:t xml:space="preserve">, </w:t>
      </w:r>
      <w:r w:rsidRPr="0098350F">
        <w:rPr>
          <w:sz w:val="19"/>
          <w:szCs w:val="19"/>
        </w:rPr>
        <w:t>acute urticaria(</w:t>
      </w:r>
      <w:r w:rsidR="005E6FAD" w:rsidRPr="0098350F">
        <w:rPr>
          <w:sz w:val="19"/>
          <w:szCs w:val="19"/>
        </w:rPr>
        <w:t>AU</w:t>
      </w:r>
      <w:r w:rsidRPr="0098350F">
        <w:rPr>
          <w:sz w:val="19"/>
          <w:szCs w:val="19"/>
        </w:rPr>
        <w:t>)</w:t>
      </w:r>
      <w:r w:rsidR="005E6FAD" w:rsidRPr="0098350F">
        <w:rPr>
          <w:sz w:val="19"/>
          <w:szCs w:val="19"/>
        </w:rPr>
        <w:t xml:space="preserve"> and healthy adults</w:t>
      </w:r>
    </w:p>
    <w:p w:rsidR="00861508" w:rsidRPr="0005164C" w:rsidRDefault="0098350F" w:rsidP="00876995">
      <w:pPr>
        <w:jc w:val="both"/>
        <w:rPr>
          <w:sz w:val="19"/>
          <w:szCs w:val="19"/>
        </w:rPr>
      </w:pPr>
      <w:r w:rsidRPr="0098350F">
        <w:rPr>
          <w:sz w:val="19"/>
          <w:szCs w:val="19"/>
        </w:rPr>
        <w:t>Even tough ratio of AST positivity was higher in AU (25.9%), and in CIU (21.7%) than in control group (10.7%), the difference was not statistically significant (p=0.33).</w:t>
      </w:r>
      <w:r w:rsidR="00876995" w:rsidRPr="00876995">
        <w:rPr>
          <w:sz w:val="24"/>
          <w:szCs w:val="24"/>
        </w:rPr>
        <w:t xml:space="preserve"> </w:t>
      </w:r>
      <w:r w:rsidR="00876995" w:rsidRPr="00876995">
        <w:rPr>
          <w:sz w:val="19"/>
          <w:szCs w:val="19"/>
        </w:rPr>
        <w:t xml:space="preserve">When </w:t>
      </w:r>
      <w:r w:rsidR="00876995">
        <w:rPr>
          <w:sz w:val="19"/>
          <w:szCs w:val="19"/>
        </w:rPr>
        <w:t xml:space="preserve"> </w:t>
      </w:r>
      <w:r w:rsidR="00876995" w:rsidRPr="00876995">
        <w:rPr>
          <w:sz w:val="19"/>
          <w:szCs w:val="19"/>
        </w:rPr>
        <w:t>the laboratory test results were compared with normal limits and clinically evaluated, frequency of B12 deficiency was significantly higher in CIU (39.1%) than AU (7.4%) and controls (3.6%) (p=0.003 and p&lt;0.001). Ratio of patients with high total IgE levels with AU (85.2%) and CIU (65.2%) were similar with each other (p=0.06), but significantly higher than control group (10.7%)(p&lt;0.001 and p&lt;0.001). CIU group had significantly higher abnormal thyroid test results (45.7%) than AU (14.8%) and control groups (3.6%) (p=0.01 and p&lt;0.001), whereas patients with clinically diagnosed thyroiditis were only in CIU group (6.5%). There was no statistical difference about abnormal thyroid test results between patients with AU and control group (p=0.16).</w:t>
      </w:r>
      <w:r w:rsidRPr="0098350F">
        <w:rPr>
          <w:sz w:val="19"/>
          <w:szCs w:val="19"/>
        </w:rPr>
        <w:t xml:space="preserve"> </w:t>
      </w:r>
      <w:r w:rsidR="00876995" w:rsidRPr="00876995">
        <w:rPr>
          <w:sz w:val="19"/>
          <w:szCs w:val="19"/>
        </w:rPr>
        <w:t xml:space="preserve"> Although the general view is that patients without</w:t>
      </w:r>
      <w:r w:rsidR="00876995" w:rsidRPr="00A437BC">
        <w:rPr>
          <w:sz w:val="24"/>
          <w:szCs w:val="24"/>
        </w:rPr>
        <w:t xml:space="preserve"> </w:t>
      </w:r>
      <w:r w:rsidR="00876995" w:rsidRPr="00876995">
        <w:rPr>
          <w:sz w:val="19"/>
          <w:szCs w:val="19"/>
        </w:rPr>
        <w:t>CIU and healthy persons are not likely to have AST positivity, recent studies have shown AST positivity in allergic / nonallergic asthma and rhinitis, multidrug allergy syndrome and healthy individuals. In healthy individuals, AST positivity was reported between 0% and 55.55%.</w:t>
      </w:r>
      <w:r w:rsidR="00876995" w:rsidRPr="00876995">
        <w:rPr>
          <w:sz w:val="19"/>
          <w:szCs w:val="19"/>
          <w:vertAlign w:val="superscript"/>
        </w:rPr>
        <w:t>2,4-7</w:t>
      </w:r>
      <w:r w:rsidRPr="00876995">
        <w:rPr>
          <w:sz w:val="19"/>
          <w:szCs w:val="19"/>
        </w:rPr>
        <w:t>AST</w:t>
      </w:r>
      <w:r w:rsidRPr="0098350F">
        <w:rPr>
          <w:sz w:val="19"/>
          <w:szCs w:val="19"/>
        </w:rPr>
        <w:t xml:space="preserve">  results and reproducibility are often controversial. We found that AST was no</w:t>
      </w:r>
      <w:r w:rsidR="00AA5F88">
        <w:rPr>
          <w:sz w:val="19"/>
          <w:szCs w:val="19"/>
        </w:rPr>
        <w:t>t rational in patients with CIU</w:t>
      </w:r>
      <w:r w:rsidR="005E6FAD" w:rsidRPr="0098350F">
        <w:rPr>
          <w:sz w:val="19"/>
          <w:szCs w:val="19"/>
        </w:rPr>
        <w:t>.</w:t>
      </w:r>
    </w:p>
    <w:p w:rsidR="003C0794" w:rsidRPr="0005164C" w:rsidRDefault="003C0794" w:rsidP="003C0794">
      <w:pPr>
        <w:pStyle w:val="GvdeMetni"/>
        <w:ind w:firstLine="0"/>
        <w:rPr>
          <w:sz w:val="19"/>
          <w:szCs w:val="19"/>
        </w:rPr>
      </w:pPr>
    </w:p>
    <w:p w:rsidR="003C0794" w:rsidRPr="0005164C" w:rsidRDefault="003C0794" w:rsidP="003C0794">
      <w:pPr>
        <w:pStyle w:val="GvdeMetni"/>
        <w:jc w:val="left"/>
        <w:rPr>
          <w:sz w:val="19"/>
          <w:szCs w:val="19"/>
        </w:rPr>
      </w:pPr>
    </w:p>
    <w:p w:rsidR="003C0794" w:rsidRPr="0005164C" w:rsidRDefault="003C0794" w:rsidP="00861508">
      <w:pPr>
        <w:pStyle w:val="GvdeMetni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</w:t>
      </w:r>
      <w:r w:rsidR="00872267">
        <w:rPr>
          <w:b/>
          <w:sz w:val="19"/>
          <w:szCs w:val="19"/>
        </w:rPr>
        <w:t>s</w:t>
      </w:r>
      <w:r w:rsidRPr="0005164C">
        <w:rPr>
          <w:b/>
          <w:sz w:val="19"/>
          <w:szCs w:val="19"/>
        </w:rPr>
        <w:t>:</w:t>
      </w:r>
    </w:p>
    <w:p w:rsidR="00876995" w:rsidRPr="00876995" w:rsidRDefault="00876995" w:rsidP="00876995">
      <w:pPr>
        <w:pStyle w:val="ListeParagraf"/>
        <w:numPr>
          <w:ilvl w:val="0"/>
          <w:numId w:val="26"/>
        </w:numPr>
        <w:spacing w:line="240" w:lineRule="auto"/>
        <w:jc w:val="both"/>
        <w:rPr>
          <w:rFonts w:ascii="Times New Roman" w:hAnsi="Times New Roman"/>
          <w:sz w:val="19"/>
          <w:szCs w:val="19"/>
        </w:rPr>
      </w:pPr>
      <w:bookmarkStart w:id="2" w:name="2"/>
      <w:bookmarkEnd w:id="2"/>
      <w:r w:rsidRPr="00876995">
        <w:rPr>
          <w:rFonts w:ascii="Times New Roman" w:hAnsi="Times New Roman"/>
          <w:sz w:val="19"/>
          <w:szCs w:val="19"/>
        </w:rPr>
        <w:t>Taskapan O, Kutlu A, Karabudak O. Evaluation of autologous serum skin test results in patients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with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chronic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idiopathic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urticaria, allergic/non-allergic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asthma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or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rhinitis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and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healthy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people. Clin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Exp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Dermatol 2008;33:754-8.</w:t>
      </w:r>
    </w:p>
    <w:p w:rsidR="00876995" w:rsidRPr="00876995" w:rsidRDefault="00876995" w:rsidP="00876995">
      <w:pPr>
        <w:pStyle w:val="ListeParagraf"/>
        <w:numPr>
          <w:ilvl w:val="0"/>
          <w:numId w:val="26"/>
        </w:numPr>
        <w:spacing w:line="240" w:lineRule="auto"/>
        <w:jc w:val="both"/>
        <w:rPr>
          <w:rFonts w:ascii="Times New Roman" w:hAnsi="Times New Roman"/>
          <w:sz w:val="19"/>
          <w:szCs w:val="19"/>
        </w:rPr>
      </w:pPr>
      <w:r w:rsidRPr="00876995">
        <w:rPr>
          <w:rFonts w:ascii="Times New Roman" w:hAnsi="Times New Roman"/>
          <w:sz w:val="19"/>
          <w:szCs w:val="19"/>
        </w:rPr>
        <w:t>Taskapan O, Kutlu A. Autologous serum skin test: is the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paradigm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falling? J Eur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Acad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Dermatol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Venereol 2009;23:956-7.</w:t>
      </w:r>
    </w:p>
    <w:p w:rsidR="00876995" w:rsidRPr="00876995" w:rsidRDefault="00876995" w:rsidP="00876995">
      <w:pPr>
        <w:pStyle w:val="ListeParagraf"/>
        <w:numPr>
          <w:ilvl w:val="0"/>
          <w:numId w:val="26"/>
        </w:numPr>
        <w:spacing w:line="240" w:lineRule="auto"/>
        <w:jc w:val="both"/>
        <w:rPr>
          <w:rFonts w:ascii="Times New Roman" w:hAnsi="Times New Roman"/>
          <w:sz w:val="19"/>
          <w:szCs w:val="19"/>
        </w:rPr>
      </w:pPr>
      <w:r w:rsidRPr="00876995">
        <w:rPr>
          <w:rFonts w:ascii="Times New Roman" w:hAnsi="Times New Roman"/>
          <w:sz w:val="19"/>
          <w:szCs w:val="19"/>
        </w:rPr>
        <w:t xml:space="preserve">Guttman-Yassky E, Bergman R, Maor C, </w:t>
      </w:r>
      <w:r>
        <w:rPr>
          <w:rFonts w:ascii="Times New Roman" w:hAnsi="Times New Roman"/>
          <w:sz w:val="19"/>
          <w:szCs w:val="19"/>
        </w:rPr>
        <w:t>Mamorsky M, Pollack S, Shahar E.</w:t>
      </w:r>
      <w:r w:rsidRPr="00876995">
        <w:rPr>
          <w:rFonts w:ascii="Times New Roman" w:hAnsi="Times New Roman"/>
          <w:sz w:val="19"/>
          <w:szCs w:val="19"/>
        </w:rPr>
        <w:t xml:space="preserve"> The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autologous serum skin test in a cohort of chronic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idiopathic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urticaria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patients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compared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to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respiratory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allergy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patients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and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healthy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individuals. J Eur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Acad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Dermatol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Venereol 2007;21:35-9.</w:t>
      </w:r>
    </w:p>
    <w:p w:rsidR="00876995" w:rsidRPr="00876995" w:rsidRDefault="00876995" w:rsidP="00876995">
      <w:pPr>
        <w:pStyle w:val="ListeParagraf"/>
        <w:numPr>
          <w:ilvl w:val="0"/>
          <w:numId w:val="26"/>
        </w:numPr>
        <w:spacing w:line="240" w:lineRule="auto"/>
        <w:jc w:val="both"/>
        <w:rPr>
          <w:rFonts w:ascii="Times New Roman" w:hAnsi="Times New Roman"/>
          <w:sz w:val="19"/>
          <w:szCs w:val="19"/>
        </w:rPr>
      </w:pPr>
      <w:r w:rsidRPr="00876995">
        <w:rPr>
          <w:rFonts w:ascii="Times New Roman" w:hAnsi="Times New Roman"/>
          <w:sz w:val="19"/>
          <w:szCs w:val="19"/>
        </w:rPr>
        <w:lastRenderedPageBreak/>
        <w:t>Asero R, Tedeschi A, Lorini M: Autoreactivity is highly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 xml:space="preserve">prevalent 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in patients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with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multiple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intolerances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to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NSAIDs. Ann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Allergy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Asthma</w:t>
      </w:r>
      <w:r>
        <w:rPr>
          <w:rFonts w:ascii="Times New Roman" w:hAnsi="Times New Roman"/>
          <w:sz w:val="19"/>
          <w:szCs w:val="19"/>
        </w:rPr>
        <w:t xml:space="preserve"> Immu</w:t>
      </w:r>
      <w:r w:rsidRPr="00876995">
        <w:rPr>
          <w:rFonts w:ascii="Times New Roman" w:hAnsi="Times New Roman"/>
          <w:sz w:val="19"/>
          <w:szCs w:val="19"/>
        </w:rPr>
        <w:t>nol 2002;88:468-72.</w:t>
      </w:r>
    </w:p>
    <w:p w:rsidR="00876995" w:rsidRPr="00876995" w:rsidRDefault="00876995" w:rsidP="00876995">
      <w:pPr>
        <w:pStyle w:val="ListeParagraf"/>
        <w:numPr>
          <w:ilvl w:val="0"/>
          <w:numId w:val="26"/>
        </w:numPr>
        <w:spacing w:line="240" w:lineRule="auto"/>
        <w:jc w:val="both"/>
        <w:rPr>
          <w:rFonts w:ascii="Times New Roman" w:hAnsi="Times New Roman"/>
          <w:sz w:val="19"/>
          <w:szCs w:val="19"/>
        </w:rPr>
      </w:pPr>
      <w:r w:rsidRPr="00876995">
        <w:rPr>
          <w:rFonts w:ascii="Times New Roman" w:hAnsi="Times New Roman"/>
          <w:sz w:val="19"/>
          <w:szCs w:val="19"/>
        </w:rPr>
        <w:t xml:space="preserve">Asero R, Tedeschi A, Lorini </w:t>
      </w:r>
      <w:r>
        <w:rPr>
          <w:rFonts w:ascii="Times New Roman" w:hAnsi="Times New Roman"/>
          <w:sz w:val="19"/>
          <w:szCs w:val="19"/>
        </w:rPr>
        <w:t xml:space="preserve">M, Caldironi G, Barocci F. Sera </w:t>
      </w:r>
      <w:r w:rsidRPr="00876995">
        <w:rPr>
          <w:rFonts w:ascii="Times New Roman" w:hAnsi="Times New Roman"/>
          <w:sz w:val="19"/>
          <w:szCs w:val="19"/>
        </w:rPr>
        <w:t>from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patients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with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multiple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drug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allergy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syndrome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contain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circulating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histamine-releasing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factors. Int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Arch</w:t>
      </w:r>
      <w:r>
        <w:rPr>
          <w:rFonts w:ascii="Times New Roman" w:hAnsi="Times New Roman"/>
          <w:sz w:val="19"/>
          <w:szCs w:val="19"/>
        </w:rPr>
        <w:t xml:space="preserve"> </w:t>
      </w:r>
      <w:r w:rsidRPr="00876995">
        <w:rPr>
          <w:rFonts w:ascii="Times New Roman" w:hAnsi="Times New Roman"/>
          <w:sz w:val="19"/>
          <w:szCs w:val="19"/>
        </w:rPr>
        <w:t>Allergy</w:t>
      </w:r>
      <w:r>
        <w:rPr>
          <w:rFonts w:ascii="Times New Roman" w:hAnsi="Times New Roman"/>
          <w:sz w:val="19"/>
          <w:szCs w:val="19"/>
        </w:rPr>
        <w:t xml:space="preserve"> Immu</w:t>
      </w:r>
      <w:r w:rsidRPr="00876995">
        <w:rPr>
          <w:rFonts w:ascii="Times New Roman" w:hAnsi="Times New Roman"/>
          <w:sz w:val="19"/>
          <w:szCs w:val="19"/>
        </w:rPr>
        <w:t>nol 2003;131:195-200.</w:t>
      </w:r>
    </w:p>
    <w:p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Default="00876995" w:rsidP="00861508">
      <w:pPr>
        <w:jc w:val="both"/>
        <w:rPr>
          <w:sz w:val="19"/>
          <w:szCs w:val="19"/>
        </w:rPr>
      </w:pPr>
      <w:r>
        <w:rPr>
          <w:sz w:val="19"/>
          <w:szCs w:val="19"/>
        </w:rPr>
        <w:t>Serkan Demirkan</w:t>
      </w:r>
      <w:r w:rsidR="00861508" w:rsidRPr="0005164C">
        <w:rPr>
          <w:sz w:val="19"/>
          <w:szCs w:val="19"/>
        </w:rPr>
        <w:t xml:space="preserve"> </w:t>
      </w:r>
      <w:r w:rsidR="00872267">
        <w:rPr>
          <w:sz w:val="19"/>
          <w:szCs w:val="19"/>
        </w:rPr>
        <w:t xml:space="preserve"> </w:t>
      </w:r>
      <w:r w:rsidR="00861508" w:rsidRPr="0005164C">
        <w:rPr>
          <w:sz w:val="19"/>
          <w:szCs w:val="19"/>
        </w:rPr>
        <w:t>has co</w:t>
      </w:r>
      <w:r>
        <w:rPr>
          <w:sz w:val="19"/>
          <w:szCs w:val="19"/>
        </w:rPr>
        <w:t xml:space="preserve">mpleted his PhD at the age of 28 years from Adnan Menderes </w:t>
      </w:r>
      <w:r w:rsidR="00861508" w:rsidRPr="0005164C">
        <w:rPr>
          <w:sz w:val="19"/>
          <w:szCs w:val="19"/>
        </w:rPr>
        <w:t xml:space="preserve">University and </w:t>
      </w:r>
      <w:r w:rsidR="00E177DC">
        <w:rPr>
          <w:sz w:val="19"/>
          <w:szCs w:val="19"/>
        </w:rPr>
        <w:t>P</w:t>
      </w:r>
      <w:r w:rsidR="00861508" w:rsidRPr="0005164C">
        <w:rPr>
          <w:sz w:val="19"/>
          <w:szCs w:val="19"/>
        </w:rPr>
        <w:t xml:space="preserve">ostdoctoral </w:t>
      </w:r>
      <w:r w:rsidR="00E177DC">
        <w:rPr>
          <w:sz w:val="19"/>
          <w:szCs w:val="19"/>
        </w:rPr>
        <w:t>S</w:t>
      </w:r>
      <w:r w:rsidR="00861508" w:rsidRPr="0005164C">
        <w:rPr>
          <w:sz w:val="19"/>
          <w:szCs w:val="19"/>
        </w:rPr>
        <w:t xml:space="preserve">tudies from </w:t>
      </w:r>
      <w:r w:rsidR="00E177DC" w:rsidRPr="0005164C">
        <w:rPr>
          <w:sz w:val="19"/>
          <w:szCs w:val="19"/>
        </w:rPr>
        <w:t>School of Medicine</w:t>
      </w:r>
      <w:r w:rsidR="00E177DC">
        <w:rPr>
          <w:sz w:val="19"/>
          <w:szCs w:val="19"/>
        </w:rPr>
        <w:t xml:space="preserve">, </w:t>
      </w:r>
      <w:r>
        <w:rPr>
          <w:sz w:val="19"/>
          <w:szCs w:val="19"/>
        </w:rPr>
        <w:t>Kırıkkale</w:t>
      </w:r>
      <w:r w:rsidR="00E177DC" w:rsidRPr="0005164C">
        <w:rPr>
          <w:sz w:val="19"/>
          <w:szCs w:val="19"/>
        </w:rPr>
        <w:t xml:space="preserve"> </w:t>
      </w:r>
      <w:r w:rsidR="00861508" w:rsidRPr="0005164C">
        <w:rPr>
          <w:sz w:val="19"/>
          <w:szCs w:val="19"/>
        </w:rPr>
        <w:t>University</w:t>
      </w:r>
      <w:r w:rsidR="00E177DC">
        <w:rPr>
          <w:sz w:val="19"/>
          <w:szCs w:val="19"/>
        </w:rPr>
        <w:t xml:space="preserve">, </w:t>
      </w:r>
      <w:r>
        <w:rPr>
          <w:sz w:val="19"/>
          <w:szCs w:val="19"/>
        </w:rPr>
        <w:t>Turkey</w:t>
      </w:r>
      <w:r w:rsidR="00861508" w:rsidRPr="0005164C">
        <w:rPr>
          <w:sz w:val="19"/>
          <w:szCs w:val="19"/>
        </w:rPr>
        <w:t xml:space="preserve">. </w:t>
      </w:r>
      <w:r>
        <w:rPr>
          <w:sz w:val="19"/>
          <w:szCs w:val="19"/>
        </w:rPr>
        <w:t>He has pub</w:t>
      </w:r>
      <w:r w:rsidR="00872267">
        <w:rPr>
          <w:sz w:val="19"/>
          <w:szCs w:val="19"/>
        </w:rPr>
        <w:t>lished more than 20</w:t>
      </w:r>
      <w:r>
        <w:rPr>
          <w:sz w:val="19"/>
          <w:szCs w:val="19"/>
        </w:rPr>
        <w:t xml:space="preserve"> papers in reputed journals.</w:t>
      </w:r>
    </w:p>
    <w:p w:rsidR="00872267" w:rsidRPr="0005164C" w:rsidRDefault="00872267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6A127A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tr-TR" w:eastAsia="tr-TR"/>
        </w:rPr>
        <w:drawing>
          <wp:inline distT="0" distB="0" distL="0" distR="0">
            <wp:extent cx="1676400" cy="1676400"/>
            <wp:effectExtent l="19050" t="0" r="0" b="0"/>
            <wp:docPr id="3" name="Resim 3" descr="D:\Desktop\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Fot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876995">
        <w:rPr>
          <w:sz w:val="19"/>
          <w:szCs w:val="19"/>
          <w:lang w:val="en-NZ"/>
        </w:rPr>
        <w:t xml:space="preserve"> Serkan Demirkan</w:t>
      </w:r>
    </w:p>
    <w:p w:rsidR="00861508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876995">
        <w:rPr>
          <w:sz w:val="19"/>
          <w:szCs w:val="19"/>
          <w:lang w:val="en-NZ"/>
        </w:rPr>
        <w:t xml:space="preserve"> +905537717168</w:t>
      </w:r>
      <w:r w:rsidRPr="0005164C">
        <w:rPr>
          <w:sz w:val="19"/>
          <w:szCs w:val="19"/>
          <w:lang w:val="en-NZ"/>
        </w:rPr>
        <w:br/>
        <w:t>Ca</w:t>
      </w:r>
      <w:r w:rsidR="00876995">
        <w:rPr>
          <w:sz w:val="19"/>
          <w:szCs w:val="19"/>
          <w:lang w:val="en-NZ"/>
        </w:rPr>
        <w:t>tegory: Oral presentation</w:t>
      </w:r>
    </w:p>
    <w:p w:rsidR="00872267" w:rsidRPr="0005164C" w:rsidRDefault="00872267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>E-mail:serkan.demirkan@yahoo.com.tr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6A127A">
        <w:rPr>
          <w:sz w:val="18"/>
          <w:szCs w:val="18"/>
          <w:lang w:val="en-IN"/>
        </w:rPr>
        <w:t>S01966490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0D029F3"/>
    <w:multiLevelType w:val="hybridMultilevel"/>
    <w:tmpl w:val="5492F822"/>
    <w:lvl w:ilvl="0" w:tplc="67221B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89603E"/>
    <w:multiLevelType w:val="multilevel"/>
    <w:tmpl w:val="1E7CD33E"/>
    <w:lvl w:ilvl="0">
      <w:start w:val="1"/>
      <w:numFmt w:val="upperRoman"/>
      <w:pStyle w:val="Balk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Balk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Balk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Balk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4390D"/>
    <w:rsid w:val="000456FD"/>
    <w:rsid w:val="0005164C"/>
    <w:rsid w:val="000B4641"/>
    <w:rsid w:val="0010711E"/>
    <w:rsid w:val="00127EDD"/>
    <w:rsid w:val="002043C0"/>
    <w:rsid w:val="002404FD"/>
    <w:rsid w:val="00272C82"/>
    <w:rsid w:val="00276735"/>
    <w:rsid w:val="002864A3"/>
    <w:rsid w:val="002B3B81"/>
    <w:rsid w:val="00351E9B"/>
    <w:rsid w:val="003A47B5"/>
    <w:rsid w:val="003A59A6"/>
    <w:rsid w:val="003C0794"/>
    <w:rsid w:val="004059FE"/>
    <w:rsid w:val="004227FF"/>
    <w:rsid w:val="004445B3"/>
    <w:rsid w:val="005B520E"/>
    <w:rsid w:val="005B535B"/>
    <w:rsid w:val="005E6FAD"/>
    <w:rsid w:val="006108A4"/>
    <w:rsid w:val="00663E31"/>
    <w:rsid w:val="006A127A"/>
    <w:rsid w:val="006C4648"/>
    <w:rsid w:val="006D5996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72267"/>
    <w:rsid w:val="00876995"/>
    <w:rsid w:val="00883A50"/>
    <w:rsid w:val="008A55B5"/>
    <w:rsid w:val="008A75C8"/>
    <w:rsid w:val="00907876"/>
    <w:rsid w:val="0097508D"/>
    <w:rsid w:val="0098350F"/>
    <w:rsid w:val="009D49B8"/>
    <w:rsid w:val="00A510F7"/>
    <w:rsid w:val="00AA5F88"/>
    <w:rsid w:val="00AC6519"/>
    <w:rsid w:val="00CB1404"/>
    <w:rsid w:val="00CB66E6"/>
    <w:rsid w:val="00D319E1"/>
    <w:rsid w:val="00D9156D"/>
    <w:rsid w:val="00E177DC"/>
    <w:rsid w:val="00E91219"/>
    <w:rsid w:val="00E918C4"/>
    <w:rsid w:val="00EA506F"/>
    <w:rsid w:val="00EE4362"/>
    <w:rsid w:val="00EF18D7"/>
    <w:rsid w:val="00EF1E8A"/>
    <w:rsid w:val="00EF3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Balk2">
    <w:name w:val="heading 2"/>
    <w:basedOn w:val="Normal"/>
    <w:next w:val="Normal"/>
    <w:link w:val="Balk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Balk3">
    <w:name w:val="heading 3"/>
    <w:basedOn w:val="Normal"/>
    <w:next w:val="Normal"/>
    <w:link w:val="Balk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Balk4">
    <w:name w:val="heading 4"/>
    <w:basedOn w:val="Normal"/>
    <w:next w:val="Normal"/>
    <w:link w:val="Balk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Balk5">
    <w:name w:val="heading 5"/>
    <w:basedOn w:val="Normal"/>
    <w:next w:val="Normal"/>
    <w:link w:val="Balk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VarsaylanParagrafYazTipi">
    <w:name w:val="Default Paragraph Font"/>
    <w:uiPriority w:val="99"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Balk2Char">
    <w:name w:val="Başlık 2 Char"/>
    <w:link w:val="Balk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Balk3Char">
    <w:name w:val="Başlık 3 Char"/>
    <w:link w:val="Balk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Balk4Char">
    <w:name w:val="Başlık 4 Char"/>
    <w:link w:val="Balk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Balk5Char">
    <w:name w:val="Başlık 5 Char"/>
    <w:link w:val="Balk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GvdeMetni">
    <w:name w:val="Body Text"/>
    <w:basedOn w:val="Normal"/>
    <w:link w:val="GvdeMetni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GvdeMetniChar">
    <w:name w:val="Gövde Metni Char"/>
    <w:link w:val="GvdeMetni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GvdeMetni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Gl">
    <w:name w:val="Strong"/>
    <w:uiPriority w:val="22"/>
    <w:qFormat/>
    <w:rsid w:val="003C0794"/>
    <w:rPr>
      <w:b/>
      <w:bCs/>
    </w:rPr>
  </w:style>
  <w:style w:type="character" w:styleId="Kpr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Vurgu">
    <w:name w:val="Emphasis"/>
    <w:uiPriority w:val="20"/>
    <w:qFormat/>
    <w:rsid w:val="003C0794"/>
    <w:rPr>
      <w:i/>
      <w:iCs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C0794"/>
  </w:style>
  <w:style w:type="character" w:customStyle="1" w:styleId="AklamaMetniChar">
    <w:name w:val="Açıklama Metni Char"/>
    <w:link w:val="AklamaMetni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AklamaKonusuChar">
    <w:name w:val="Açıklama Konusu Char"/>
    <w:link w:val="AklamaKonusu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ListeParagraf">
    <w:name w:val="List Paragraph"/>
    <w:basedOn w:val="Normal"/>
    <w:uiPriority w:val="34"/>
    <w:qFormat/>
    <w:rsid w:val="00876995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adm</cp:lastModifiedBy>
  <cp:revision>2</cp:revision>
  <dcterms:created xsi:type="dcterms:W3CDTF">2018-01-04T18:49:00Z</dcterms:created>
  <dcterms:modified xsi:type="dcterms:W3CDTF">2018-01-04T18:49:00Z</dcterms:modified>
</cp:coreProperties>
</file>