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715B97" w14:textId="292844AC" w:rsidR="00DF6413" w:rsidRDefault="00DF6413" w:rsidP="00DF6413">
      <w:pPr>
        <w:rPr>
          <w:rFonts w:ascii="Times New Roman" w:hAnsi="Times New Roman" w:cs="Times New Roman"/>
          <w:b/>
          <w:bCs/>
          <w:sz w:val="24"/>
          <w:szCs w:val="24"/>
          <w:lang w:val="en-GB"/>
        </w:rPr>
      </w:pPr>
      <w:r w:rsidRPr="00DF6413">
        <w:rPr>
          <w:rFonts w:ascii="Times New Roman" w:hAnsi="Times New Roman" w:cs="Times New Roman"/>
          <w:b/>
          <w:bCs/>
          <w:sz w:val="24"/>
          <w:szCs w:val="24"/>
          <w:lang w:val="en-GB"/>
        </w:rPr>
        <w:t>Correlation analysis of the shear bond strength and adhesive remnant index in orthodontic adhesive systems: in vitro study</w:t>
      </w:r>
    </w:p>
    <w:p w14:paraId="62ADB59A" w14:textId="77777777" w:rsidR="00DF6413" w:rsidRPr="00DF6413" w:rsidRDefault="00DF6413" w:rsidP="00DF6413">
      <w:pPr>
        <w:jc w:val="both"/>
        <w:rPr>
          <w:rFonts w:ascii="Times New Roman" w:hAnsi="Times New Roman" w:cs="Times New Roman"/>
          <w:sz w:val="24"/>
          <w:szCs w:val="24"/>
          <w:lang w:val="en-GB"/>
        </w:rPr>
      </w:pPr>
      <w:r w:rsidRPr="00DF6413">
        <w:rPr>
          <w:rFonts w:ascii="Times New Roman" w:hAnsi="Times New Roman" w:cs="Times New Roman"/>
          <w:sz w:val="24"/>
          <w:szCs w:val="24"/>
          <w:lang w:val="en-GB"/>
        </w:rPr>
        <w:t>Vaitiekūnas Rytis</w:t>
      </w:r>
      <w:r w:rsidRPr="00DF6413">
        <w:rPr>
          <w:rFonts w:ascii="Times New Roman" w:hAnsi="Times New Roman" w:cs="Times New Roman"/>
          <w:sz w:val="24"/>
          <w:szCs w:val="24"/>
          <w:vertAlign w:val="superscript"/>
          <w:lang w:val="en-GB"/>
        </w:rPr>
        <w:t>1</w:t>
      </w:r>
      <w:r w:rsidRPr="00DF6413">
        <w:rPr>
          <w:rFonts w:ascii="Times New Roman" w:hAnsi="Times New Roman" w:cs="Times New Roman"/>
          <w:sz w:val="24"/>
          <w:szCs w:val="24"/>
          <w:lang w:val="en-GB"/>
        </w:rPr>
        <w:t xml:space="preserve">, </w:t>
      </w:r>
      <w:proofErr w:type="spellStart"/>
      <w:r w:rsidRPr="00DF6413">
        <w:rPr>
          <w:rFonts w:ascii="Times New Roman" w:hAnsi="Times New Roman" w:cs="Times New Roman"/>
          <w:sz w:val="24"/>
          <w:szCs w:val="24"/>
          <w:lang w:val="en-GB"/>
        </w:rPr>
        <w:t>Kazlauskaitė</w:t>
      </w:r>
      <w:proofErr w:type="spellEnd"/>
      <w:r w:rsidRPr="00DF6413">
        <w:rPr>
          <w:rFonts w:ascii="Times New Roman" w:hAnsi="Times New Roman" w:cs="Times New Roman"/>
          <w:sz w:val="24"/>
          <w:szCs w:val="24"/>
          <w:lang w:val="en-GB"/>
        </w:rPr>
        <w:t xml:space="preserve"> Grėtė</w:t>
      </w:r>
      <w:r w:rsidRPr="00DF6413">
        <w:rPr>
          <w:rFonts w:ascii="Times New Roman" w:hAnsi="Times New Roman" w:cs="Times New Roman"/>
          <w:sz w:val="24"/>
          <w:szCs w:val="24"/>
          <w:vertAlign w:val="superscript"/>
          <w:lang w:val="en-GB"/>
        </w:rPr>
        <w:t>1</w:t>
      </w:r>
      <w:r w:rsidRPr="00DF6413">
        <w:rPr>
          <w:rFonts w:ascii="Times New Roman" w:hAnsi="Times New Roman" w:cs="Times New Roman"/>
          <w:sz w:val="24"/>
          <w:szCs w:val="24"/>
          <w:lang w:val="en-GB"/>
        </w:rPr>
        <w:t xml:space="preserve">, </w:t>
      </w:r>
      <w:proofErr w:type="spellStart"/>
      <w:r w:rsidRPr="00DF6413">
        <w:rPr>
          <w:rFonts w:ascii="Times New Roman" w:hAnsi="Times New Roman" w:cs="Times New Roman"/>
          <w:sz w:val="24"/>
          <w:szCs w:val="24"/>
          <w:lang w:val="en-GB"/>
        </w:rPr>
        <w:t>Smailienė</w:t>
      </w:r>
      <w:proofErr w:type="spellEnd"/>
      <w:r w:rsidRPr="00DF6413">
        <w:rPr>
          <w:rFonts w:ascii="Times New Roman" w:hAnsi="Times New Roman" w:cs="Times New Roman"/>
          <w:sz w:val="24"/>
          <w:szCs w:val="24"/>
          <w:lang w:val="en-GB"/>
        </w:rPr>
        <w:t xml:space="preserve"> Dalia</w:t>
      </w:r>
      <w:r w:rsidRPr="00DF6413">
        <w:rPr>
          <w:rFonts w:ascii="Times New Roman" w:hAnsi="Times New Roman" w:cs="Times New Roman"/>
          <w:sz w:val="24"/>
          <w:szCs w:val="24"/>
          <w:vertAlign w:val="superscript"/>
          <w:lang w:val="en-GB"/>
        </w:rPr>
        <w:t>1</w:t>
      </w:r>
    </w:p>
    <w:p w14:paraId="3D1CB168" w14:textId="773C6428" w:rsidR="00DF6413" w:rsidRPr="005855A3" w:rsidRDefault="00DF6413" w:rsidP="00DF6413">
      <w:pPr>
        <w:jc w:val="both"/>
        <w:rPr>
          <w:rFonts w:ascii="Times New Roman" w:hAnsi="Times New Roman" w:cs="Times New Roman"/>
          <w:sz w:val="24"/>
          <w:szCs w:val="24"/>
          <w:lang w:val="en-US"/>
        </w:rPr>
      </w:pPr>
      <w:r w:rsidRPr="00DF6413">
        <w:rPr>
          <w:rFonts w:ascii="Times New Roman" w:hAnsi="Times New Roman" w:cs="Times New Roman"/>
          <w:sz w:val="24"/>
          <w:szCs w:val="24"/>
          <w:vertAlign w:val="superscript"/>
          <w:lang w:val="en-US"/>
        </w:rPr>
        <w:t>1</w:t>
      </w:r>
      <w:r w:rsidRPr="00DF6413">
        <w:rPr>
          <w:rFonts w:ascii="Times New Roman" w:hAnsi="Times New Roman" w:cs="Times New Roman"/>
          <w:sz w:val="24"/>
          <w:szCs w:val="24"/>
          <w:lang w:val="en-US"/>
        </w:rPr>
        <w:t>Department of Orthodontics, Lithuanian University of Health Sciences</w:t>
      </w:r>
      <w:r w:rsidR="005855A3">
        <w:rPr>
          <w:rFonts w:ascii="Times New Roman" w:hAnsi="Times New Roman" w:cs="Times New Roman"/>
          <w:sz w:val="24"/>
          <w:szCs w:val="24"/>
          <w:lang w:val="en-US"/>
        </w:rPr>
        <w:t xml:space="preserve">, </w:t>
      </w:r>
      <w:r w:rsidRPr="00DF6413">
        <w:rPr>
          <w:rFonts w:ascii="Times New Roman" w:hAnsi="Times New Roman" w:cs="Times New Roman"/>
          <w:sz w:val="24"/>
          <w:szCs w:val="24"/>
          <w:lang w:val="en-US"/>
        </w:rPr>
        <w:t>Kaunas, Lithuania.</w:t>
      </w:r>
    </w:p>
    <w:p w14:paraId="633DF729" w14:textId="56014E9D" w:rsidR="00DF6413" w:rsidRPr="00DF6413" w:rsidRDefault="00DF6413" w:rsidP="00DF6413">
      <w:pPr>
        <w:jc w:val="both"/>
        <w:rPr>
          <w:rFonts w:ascii="Times New Roman" w:hAnsi="Times New Roman" w:cs="Times New Roman"/>
          <w:sz w:val="24"/>
          <w:szCs w:val="24"/>
          <w:lang w:val="en-US"/>
        </w:rPr>
      </w:pPr>
      <w:r>
        <w:rPr>
          <w:rFonts w:ascii="Times New Roman" w:hAnsi="Times New Roman" w:cs="Times New Roman"/>
          <w:b/>
          <w:bCs/>
          <w:sz w:val="24"/>
          <w:szCs w:val="24"/>
          <w:lang w:val="en-US"/>
        </w:rPr>
        <w:t>Abstract</w:t>
      </w:r>
      <w:r w:rsidR="00C72059">
        <w:rPr>
          <w:rFonts w:ascii="Times New Roman" w:hAnsi="Times New Roman" w:cs="Times New Roman"/>
          <w:b/>
          <w:bCs/>
          <w:sz w:val="24"/>
          <w:szCs w:val="24"/>
          <w:lang w:val="en-US"/>
        </w:rPr>
        <w:t>:</w:t>
      </w:r>
    </w:p>
    <w:p w14:paraId="0E0557DA" w14:textId="48A2D491" w:rsidR="00DF6413" w:rsidRPr="00DF6413" w:rsidRDefault="00EA5F93" w:rsidP="00DF641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Statement of the Problem: </w:t>
      </w:r>
      <w:r w:rsidR="00DF6413" w:rsidRPr="00DF6413">
        <w:rPr>
          <w:rFonts w:ascii="Times New Roman" w:hAnsi="Times New Roman" w:cs="Times New Roman"/>
          <w:sz w:val="24"/>
          <w:szCs w:val="24"/>
          <w:lang w:val="en-US"/>
        </w:rPr>
        <w:t xml:space="preserve">The success of orthodontic treatment relies on the durability and strength of adhesive bonds formed between the brackets and enamel </w:t>
      </w:r>
      <w:sdt>
        <w:sdtPr>
          <w:rPr>
            <w:rFonts w:ascii="Times New Roman" w:hAnsi="Times New Roman" w:cs="Times New Roman"/>
            <w:color w:val="000000"/>
            <w:sz w:val="24"/>
            <w:szCs w:val="24"/>
            <w:lang w:val="en-US"/>
          </w:rPr>
          <w:tag w:val="MENDELEY_CITATION_v3_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"/>
          <w:id w:val="632209491"/>
          <w:placeholder>
            <w:docPart w:val="DefaultPlaceholder_-1854013440"/>
          </w:placeholder>
        </w:sdtPr>
        <w:sdtContent>
          <w:r w:rsidR="00494DE7" w:rsidRPr="00494DE7">
            <w:rPr>
              <w:rFonts w:ascii="Times New Roman" w:hAnsi="Times New Roman" w:cs="Times New Roman"/>
              <w:color w:val="000000"/>
              <w:sz w:val="24"/>
              <w:szCs w:val="24"/>
              <w:lang w:val="en-US"/>
            </w:rPr>
            <w:t>[1]</w:t>
          </w:r>
        </w:sdtContent>
      </w:sdt>
      <w:r w:rsidR="00DF6413" w:rsidRPr="00DF6413">
        <w:rPr>
          <w:rFonts w:ascii="Times New Roman" w:hAnsi="Times New Roman" w:cs="Times New Roman"/>
          <w:color w:val="000000"/>
          <w:sz w:val="24"/>
          <w:szCs w:val="24"/>
          <w:lang w:val="en-US"/>
        </w:rPr>
        <w:t>, with</w:t>
      </w:r>
      <w:r w:rsidR="00DF6413" w:rsidRPr="00DF6413">
        <w:rPr>
          <w:rFonts w:ascii="Times New Roman" w:hAnsi="Times New Roman" w:cs="Times New Roman"/>
          <w:sz w:val="24"/>
          <w:szCs w:val="24"/>
          <w:lang w:val="en-US"/>
        </w:rPr>
        <w:t xml:space="preserve"> shear bond strength (SBS) ensuring that brackets remain attached to the teeth, particularly during masticatory movements</w:t>
      </w:r>
      <w:r w:rsidR="00494DE7">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"/>
          <w:id w:val="401343252"/>
          <w:placeholder>
            <w:docPart w:val="DefaultPlaceholder_-1854013440"/>
          </w:placeholder>
        </w:sdtPr>
        <w:sdtContent>
          <w:r w:rsidR="00494DE7" w:rsidRPr="00494DE7">
            <w:rPr>
              <w:rFonts w:ascii="Times New Roman" w:hAnsi="Times New Roman" w:cs="Times New Roman"/>
              <w:color w:val="000000"/>
              <w:sz w:val="24"/>
              <w:szCs w:val="24"/>
              <w:lang w:val="en-US"/>
            </w:rPr>
            <w:t>[2]</w:t>
          </w:r>
        </w:sdtContent>
      </w:sdt>
      <w:r w:rsidR="00DF6413" w:rsidRPr="00DF6413">
        <w:rPr>
          <w:rFonts w:ascii="Times New Roman" w:hAnsi="Times New Roman" w:cs="Times New Roman"/>
          <w:sz w:val="24"/>
          <w:szCs w:val="24"/>
          <w:lang w:val="en-US"/>
        </w:rPr>
        <w:t>. However, greater SBS may increase the risk of enamel fracture during bracket or adhesive remnant removal</w:t>
      </w:r>
      <w:r w:rsidR="00494DE7">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"/>
          <w:id w:val="1572844540"/>
          <w:placeholder>
            <w:docPart w:val="DefaultPlaceholder_-1854013440"/>
          </w:placeholder>
        </w:sdtPr>
        <w:sdtContent>
          <w:r w:rsidR="00494DE7" w:rsidRPr="00494DE7">
            <w:rPr>
              <w:rFonts w:ascii="Times New Roman" w:hAnsi="Times New Roman" w:cs="Times New Roman"/>
              <w:color w:val="000000"/>
              <w:sz w:val="24"/>
              <w:szCs w:val="24"/>
              <w:lang w:val="en-US"/>
            </w:rPr>
            <w:t>[3]</w:t>
          </w:r>
        </w:sdtContent>
      </w:sdt>
      <w:r w:rsidR="00DF6413" w:rsidRPr="00DF6413">
        <w:rPr>
          <w:rFonts w:ascii="Times New Roman" w:hAnsi="Times New Roman" w:cs="Times New Roman"/>
          <w:sz w:val="24"/>
          <w:szCs w:val="24"/>
          <w:lang w:val="en-US"/>
        </w:rPr>
        <w:t>. Meanwhile, the adhesive remnant index (ARI) indicates the amount of adhesive residue left on the tooth surface at the site of bracket bond failure</w:t>
      </w:r>
      <w:r w:rsidR="00494DE7">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"/>
          <w:id w:val="1086114959"/>
          <w:placeholder>
            <w:docPart w:val="DefaultPlaceholder_-1854013440"/>
          </w:placeholder>
        </w:sdtPr>
        <w:sdtContent>
          <w:r w:rsidR="00494DE7" w:rsidRPr="00494DE7">
            <w:rPr>
              <w:rFonts w:ascii="Times New Roman" w:hAnsi="Times New Roman" w:cs="Times New Roman"/>
              <w:color w:val="000000"/>
              <w:sz w:val="24"/>
              <w:szCs w:val="24"/>
              <w:lang w:val="en-US"/>
            </w:rPr>
            <w:t>[4]</w:t>
          </w:r>
        </w:sdtContent>
      </w:sdt>
      <w:r w:rsidR="00DF6413" w:rsidRPr="00DF6413">
        <w:rPr>
          <w:rFonts w:ascii="Times New Roman" w:hAnsi="Times New Roman" w:cs="Times New Roman"/>
          <w:sz w:val="24"/>
          <w:szCs w:val="24"/>
          <w:lang w:val="en-US"/>
        </w:rPr>
        <w:t>. Minimal adhesive remnants on the tooth surface usually imposes a risk of enamel fracture</w:t>
      </w:r>
      <w:r w:rsidR="00494DE7">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"/>
          <w:id w:val="145937242"/>
          <w:placeholder>
            <w:docPart w:val="DefaultPlaceholder_-1854013440"/>
          </w:placeholder>
        </w:sdtPr>
        <w:sdtContent>
          <w:r w:rsidR="00494DE7" w:rsidRPr="00494DE7">
            <w:rPr>
              <w:rFonts w:ascii="Times New Roman" w:hAnsi="Times New Roman" w:cs="Times New Roman"/>
              <w:color w:val="000000"/>
              <w:sz w:val="24"/>
              <w:szCs w:val="24"/>
              <w:lang w:val="en-US"/>
            </w:rPr>
            <w:t>[5]</w:t>
          </w:r>
        </w:sdtContent>
      </w:sdt>
      <w:r w:rsidR="00DF6413" w:rsidRPr="00DF6413">
        <w:rPr>
          <w:rFonts w:ascii="Times New Roman" w:hAnsi="Times New Roman" w:cs="Times New Roman"/>
          <w:sz w:val="24"/>
          <w:szCs w:val="24"/>
          <w:lang w:val="en-US"/>
        </w:rPr>
        <w:t>.</w:t>
      </w:r>
      <w:r w:rsidR="00DF6413" w:rsidRPr="00DF6413">
        <w:rPr>
          <w:rFonts w:ascii="Times New Roman" w:hAnsi="Times New Roman" w:cs="Times New Roman"/>
          <w:color w:val="000000"/>
          <w:sz w:val="24"/>
          <w:szCs w:val="24"/>
          <w:lang w:val="en-US"/>
        </w:rPr>
        <w:t xml:space="preserve"> </w:t>
      </w:r>
      <w:r w:rsidR="00DF6413" w:rsidRPr="00DF6413">
        <w:rPr>
          <w:rFonts w:ascii="Times New Roman" w:hAnsi="Times New Roman" w:cs="Times New Roman"/>
          <w:sz w:val="24"/>
          <w:szCs w:val="24"/>
          <w:lang w:val="en-US"/>
        </w:rPr>
        <w:t>Given that both factors are related to the integrity of enamel, this implies that changes in SBS might influence ARI outcomes.</w:t>
      </w:r>
      <w:r>
        <w:rPr>
          <w:rFonts w:ascii="Times New Roman" w:hAnsi="Times New Roman" w:cs="Times New Roman"/>
          <w:sz w:val="24"/>
          <w:szCs w:val="24"/>
          <w:lang w:val="en-US"/>
        </w:rPr>
        <w:t xml:space="preserve"> </w:t>
      </w:r>
      <w:r w:rsidR="00DF6413" w:rsidRPr="00DF6413">
        <w:rPr>
          <w:rFonts w:ascii="Times New Roman" w:hAnsi="Times New Roman" w:cs="Times New Roman"/>
          <w:sz w:val="24"/>
          <w:szCs w:val="24"/>
          <w:lang w:val="en-US"/>
        </w:rPr>
        <w:t>This study aimed to assess a correlation between SBS and ARI scores across two orthodontic adhesive systems.</w:t>
      </w:r>
    </w:p>
    <w:p w14:paraId="13DC8355" w14:textId="72BA9CC8" w:rsidR="00DF6413" w:rsidRPr="00DF6413" w:rsidRDefault="00EA5F93" w:rsidP="00DF641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Methodology and Theoretical Orientation: </w:t>
      </w:r>
      <w:r w:rsidR="00DF6413" w:rsidRPr="00DF6413">
        <w:rPr>
          <w:rFonts w:ascii="Times New Roman" w:hAnsi="Times New Roman" w:cs="Times New Roman"/>
          <w:sz w:val="24"/>
          <w:szCs w:val="24"/>
          <w:lang w:val="en-US"/>
        </w:rPr>
        <w:t>112 extracted human molars were randomly divided into two groups (n=56) for bonding tubes with two orthodontic adhesive systems (</w:t>
      </w:r>
      <w:proofErr w:type="spellStart"/>
      <w:r w:rsidR="00DF6413" w:rsidRPr="00DF6413">
        <w:rPr>
          <w:rFonts w:ascii="Times New Roman" w:hAnsi="Times New Roman" w:cs="Times New Roman"/>
          <w:sz w:val="24"/>
          <w:szCs w:val="24"/>
          <w:lang w:val="en-US"/>
        </w:rPr>
        <w:t>Transbond</w:t>
      </w:r>
      <w:proofErr w:type="spellEnd"/>
      <w:r w:rsidR="00DF6413" w:rsidRPr="00DF6413">
        <w:rPr>
          <w:rFonts w:ascii="Times New Roman" w:hAnsi="Times New Roman" w:cs="Times New Roman"/>
          <w:sz w:val="24"/>
          <w:szCs w:val="24"/>
          <w:lang w:val="en-US"/>
        </w:rPr>
        <w:t xml:space="preserve"> XT and GC Ortho Connect). The shear bond strength (SBS) test was conducted using a universal testing machine. The adhesive remnant index (ARI) was used to evaluate the amounts of adhesive remnants on all molar surfaces. All teeth were </w:t>
      </w:r>
      <w:proofErr w:type="spellStart"/>
      <w:r w:rsidR="00DF6413" w:rsidRPr="00DF6413">
        <w:rPr>
          <w:rFonts w:ascii="Times New Roman" w:hAnsi="Times New Roman" w:cs="Times New Roman"/>
          <w:sz w:val="24"/>
          <w:szCs w:val="24"/>
          <w:lang w:val="en-US"/>
        </w:rPr>
        <w:t>analysed</w:t>
      </w:r>
      <w:proofErr w:type="spellEnd"/>
      <w:r w:rsidR="00DF6413" w:rsidRPr="00DF6413">
        <w:rPr>
          <w:rFonts w:ascii="Times New Roman" w:hAnsi="Times New Roman" w:cs="Times New Roman"/>
          <w:sz w:val="24"/>
          <w:szCs w:val="24"/>
          <w:lang w:val="en-US"/>
        </w:rPr>
        <w:t xml:space="preserve"> by two observers (GK and RV), and to assess the reproducibility of the ARI measurements between them, the inter-class correlation coefficient (ICC) was calculated, </w:t>
      </w:r>
      <w:r w:rsidR="00DF6413" w:rsidRPr="00676A04">
        <w:rPr>
          <w:rFonts w:ascii="Times New Roman" w:hAnsi="Times New Roman" w:cs="Times New Roman"/>
          <w:sz w:val="24"/>
          <w:szCs w:val="24"/>
          <w:lang w:val="en-US"/>
        </w:rPr>
        <w:t xml:space="preserve">indicating a high agreement between the two investigators (0.98; p&lt;0,001). Further </w:t>
      </w:r>
      <w:r w:rsidR="00DF6413" w:rsidRPr="00DF6413">
        <w:rPr>
          <w:rFonts w:ascii="Times New Roman" w:hAnsi="Times New Roman" w:cs="Times New Roman"/>
          <w:sz w:val="24"/>
          <w:szCs w:val="24"/>
          <w:lang w:val="en-US"/>
        </w:rPr>
        <w:t>statistical analysis was done using Student’s t-test, the chi-squared test, and Spearman’s rank correlation test. </w:t>
      </w:r>
    </w:p>
    <w:p w14:paraId="5AD50B1C" w14:textId="73DE1303" w:rsidR="00DF6413" w:rsidRPr="00EA5F93" w:rsidRDefault="00EA5F93" w:rsidP="00EA5F93">
      <w:pPr>
        <w:jc w:val="both"/>
        <w:rPr>
          <w:rFonts w:ascii="Times New Roman" w:eastAsia="Times New Roman" w:hAnsi="Times New Roman" w:cs="Times New Roman"/>
          <w:sz w:val="24"/>
          <w:szCs w:val="24"/>
          <w:lang w:val="en-GB"/>
        </w:rPr>
      </w:pPr>
      <w:r>
        <w:rPr>
          <w:rFonts w:ascii="Times New Roman" w:hAnsi="Times New Roman" w:cs="Times New Roman"/>
          <w:sz w:val="24"/>
          <w:szCs w:val="24"/>
          <w:lang w:val="en-US"/>
        </w:rPr>
        <w:t xml:space="preserve">Findings: </w:t>
      </w:r>
      <w:r w:rsidR="00DF6413" w:rsidRPr="00DF6413">
        <w:rPr>
          <w:rFonts w:ascii="Times New Roman" w:hAnsi="Times New Roman" w:cs="Times New Roman"/>
          <w:sz w:val="24"/>
          <w:szCs w:val="24"/>
          <w:lang w:val="en-US"/>
        </w:rPr>
        <w:t xml:space="preserve">SBS measurements for </w:t>
      </w:r>
      <w:proofErr w:type="spellStart"/>
      <w:r w:rsidR="00DF6413" w:rsidRPr="00DF6413">
        <w:rPr>
          <w:rFonts w:ascii="Times New Roman" w:hAnsi="Times New Roman" w:cs="Times New Roman"/>
          <w:sz w:val="24"/>
          <w:szCs w:val="24"/>
          <w:lang w:val="en-US"/>
        </w:rPr>
        <w:t>Transbond</w:t>
      </w:r>
      <w:proofErr w:type="spellEnd"/>
      <w:r w:rsidR="00DF6413" w:rsidRPr="00DF6413">
        <w:rPr>
          <w:rFonts w:ascii="Times New Roman" w:hAnsi="Times New Roman" w:cs="Times New Roman"/>
          <w:sz w:val="24"/>
          <w:szCs w:val="24"/>
          <w:lang w:val="en-US"/>
        </w:rPr>
        <w:t xml:space="preserve"> XT ranged from 5.48 MPa to 21.51 MPa (mean – 11.76 MPa), while for GC Ortho Connect, they ranged from 5.27 MPa to 18.13 MPa (mean</w:t>
      </w:r>
      <w:r w:rsidR="00494DE7">
        <w:rPr>
          <w:rFonts w:ascii="Times New Roman" w:hAnsi="Times New Roman" w:cs="Times New Roman"/>
          <w:sz w:val="24"/>
          <w:szCs w:val="24"/>
          <w:lang w:val="en-US"/>
        </w:rPr>
        <w:t xml:space="preserve"> </w:t>
      </w:r>
      <w:r w:rsidR="00DF6413" w:rsidRPr="00DF6413">
        <w:rPr>
          <w:rFonts w:ascii="Times New Roman" w:hAnsi="Times New Roman" w:cs="Times New Roman"/>
          <w:sz w:val="24"/>
          <w:szCs w:val="24"/>
          <w:lang w:val="en-US"/>
        </w:rPr>
        <w:t xml:space="preserve">- 11.37 MPa). Higher mean SBS values were obtained with </w:t>
      </w:r>
      <w:proofErr w:type="spellStart"/>
      <w:r w:rsidR="00DF6413" w:rsidRPr="00DF6413">
        <w:rPr>
          <w:rFonts w:ascii="Times New Roman" w:hAnsi="Times New Roman" w:cs="Times New Roman"/>
          <w:sz w:val="24"/>
          <w:szCs w:val="24"/>
          <w:lang w:val="en-US"/>
        </w:rPr>
        <w:t>Transbond</w:t>
      </w:r>
      <w:proofErr w:type="spellEnd"/>
      <w:r w:rsidR="00DF6413" w:rsidRPr="00DF6413">
        <w:rPr>
          <w:rFonts w:ascii="Times New Roman" w:hAnsi="Times New Roman" w:cs="Times New Roman"/>
          <w:sz w:val="24"/>
          <w:szCs w:val="24"/>
          <w:lang w:val="en-US"/>
        </w:rPr>
        <w:t xml:space="preserve"> XT compared to GC Ortho Connect resin; however, it was not statistically significant (p&gt;0.05). </w:t>
      </w:r>
      <w:r w:rsidR="00DF6413" w:rsidRPr="00DF6413">
        <w:rPr>
          <w:rFonts w:ascii="Times New Roman" w:eastAsia="Times New Roman" w:hAnsi="Times New Roman" w:cs="Times New Roman"/>
          <w:sz w:val="24"/>
          <w:szCs w:val="24"/>
          <w:lang w:val="en-US"/>
        </w:rPr>
        <w:t xml:space="preserve">In the </w:t>
      </w:r>
      <w:proofErr w:type="spellStart"/>
      <w:r w:rsidR="00DF6413" w:rsidRPr="00DF6413">
        <w:rPr>
          <w:rFonts w:ascii="Times New Roman" w:eastAsia="Times New Roman" w:hAnsi="Times New Roman" w:cs="Times New Roman"/>
          <w:sz w:val="24"/>
          <w:szCs w:val="24"/>
          <w:lang w:val="en-US"/>
        </w:rPr>
        <w:t>Transbond</w:t>
      </w:r>
      <w:proofErr w:type="spellEnd"/>
      <w:r w:rsidR="00DF6413" w:rsidRPr="00DF6413">
        <w:rPr>
          <w:rFonts w:ascii="Times New Roman" w:eastAsia="Times New Roman" w:hAnsi="Times New Roman" w:cs="Times New Roman"/>
          <w:sz w:val="24"/>
          <w:szCs w:val="24"/>
          <w:lang w:val="en-US"/>
        </w:rPr>
        <w:t xml:space="preserve"> XT group, the majority of scores were 0, accounting for 44.23%. Scores of 2 were observed in 21.15% of cases, and 3 in 3.85% of cases. Whereas in the GC Ortho Connect group, all scores were either 0 or 1, with 46.81% and 53.19% respectively. </w:t>
      </w:r>
      <w:r w:rsidR="00DF6413" w:rsidRPr="00DF6413">
        <w:rPr>
          <w:rFonts w:ascii="Times New Roman" w:hAnsi="Times New Roman" w:cs="Times New Roman"/>
          <w:sz w:val="24"/>
          <w:szCs w:val="24"/>
          <w:lang w:val="en-US"/>
        </w:rPr>
        <w:t xml:space="preserve">When comparing the two materials, a statistically significant difference was found (p=0.002), with higher ARI scores observed in the </w:t>
      </w:r>
      <w:proofErr w:type="spellStart"/>
      <w:r w:rsidR="00DF6413" w:rsidRPr="00DF6413">
        <w:rPr>
          <w:rFonts w:ascii="Times New Roman" w:hAnsi="Times New Roman" w:cs="Times New Roman"/>
          <w:sz w:val="24"/>
          <w:szCs w:val="24"/>
          <w:lang w:val="en-US"/>
        </w:rPr>
        <w:t>Transbond</w:t>
      </w:r>
      <w:proofErr w:type="spellEnd"/>
      <w:r w:rsidR="00DF6413" w:rsidRPr="00DF6413">
        <w:rPr>
          <w:rFonts w:ascii="Times New Roman" w:hAnsi="Times New Roman" w:cs="Times New Roman"/>
          <w:sz w:val="24"/>
          <w:szCs w:val="24"/>
          <w:lang w:val="en-US"/>
        </w:rPr>
        <w:t xml:space="preserve"> XT group. Six cases of enamel fracture were detected, with no statistically significant difference between the groups (p&gt;0.05).</w:t>
      </w:r>
      <w:r w:rsidR="00DF6413" w:rsidRPr="00676A04">
        <w:rPr>
          <w:rFonts w:ascii="Times New Roman" w:hAnsi="Times New Roman" w:cs="Times New Roman"/>
          <w:sz w:val="24"/>
          <w:szCs w:val="24"/>
          <w:lang w:val="en-US"/>
        </w:rPr>
        <w:t xml:space="preserve"> </w:t>
      </w:r>
      <w:r w:rsidR="00DF6413" w:rsidRPr="00DF6413">
        <w:rPr>
          <w:rFonts w:ascii="Times New Roman" w:eastAsia="Times New Roman" w:hAnsi="Times New Roman" w:cs="Times New Roman"/>
          <w:sz w:val="24"/>
          <w:szCs w:val="24"/>
          <w:lang w:val="en-US"/>
        </w:rPr>
        <w:t>The Spearman correlation test revealed a significant moderately positive correlation (r=0.427) between SBS and ARI (p&lt;0.001).</w:t>
      </w:r>
    </w:p>
    <w:p w14:paraId="3A181BF2" w14:textId="0C3896FB" w:rsidR="00DF6413" w:rsidRDefault="00EA5F93" w:rsidP="00DF6413">
      <w:pPr>
        <w:rPr>
          <w:rFonts w:ascii="Times New Roman" w:hAnsi="Times New Roman" w:cs="Times New Roman"/>
          <w:sz w:val="24"/>
          <w:szCs w:val="24"/>
          <w:lang w:val="en-US"/>
        </w:rPr>
      </w:pPr>
      <w:r>
        <w:rPr>
          <w:rFonts w:ascii="Times New Roman" w:hAnsi="Times New Roman" w:cs="Times New Roman"/>
          <w:sz w:val="24"/>
          <w:szCs w:val="24"/>
          <w:lang w:val="en-US"/>
        </w:rPr>
        <w:t xml:space="preserve">Conclusion &amp; Significance: </w:t>
      </w:r>
      <w:r w:rsidR="00DF6413" w:rsidRPr="00DF6413">
        <w:rPr>
          <w:rFonts w:ascii="Times New Roman" w:hAnsi="Times New Roman" w:cs="Times New Roman"/>
          <w:sz w:val="24"/>
          <w:szCs w:val="24"/>
          <w:lang w:val="en-US"/>
        </w:rPr>
        <w:t>The positive correlation between the SBS and ARI indicates that greater bond strength leads to more adhesive residue.</w:t>
      </w:r>
    </w:p>
    <w:p w14:paraId="7204DFF7" w14:textId="2BD0AF85" w:rsidR="00EA5F93" w:rsidRDefault="00EA5F93" w:rsidP="00DF6413">
      <w:pPr>
        <w:rPr>
          <w:rFonts w:ascii="Times New Roman" w:hAnsi="Times New Roman" w:cs="Times New Roman"/>
          <w:b/>
          <w:bCs/>
          <w:sz w:val="24"/>
          <w:szCs w:val="24"/>
          <w:lang w:val="en-US"/>
        </w:rPr>
      </w:pPr>
      <w:r>
        <w:rPr>
          <w:rFonts w:ascii="Times New Roman" w:hAnsi="Times New Roman" w:cs="Times New Roman"/>
          <w:b/>
          <w:bCs/>
          <w:sz w:val="24"/>
          <w:szCs w:val="24"/>
          <w:lang w:val="en-US"/>
        </w:rPr>
        <w:t>Biography</w:t>
      </w:r>
    </w:p>
    <w:p w14:paraId="44CFAE13" w14:textId="0F164FBB" w:rsidR="00515E7B" w:rsidRDefault="00EA5F93" w:rsidP="00AF5C45">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Rytis Vaitiekūnas is a fifth-year dental student at </w:t>
      </w:r>
      <w:r w:rsidR="00825536">
        <w:rPr>
          <w:rFonts w:ascii="Times New Roman" w:hAnsi="Times New Roman" w:cs="Times New Roman"/>
          <w:sz w:val="24"/>
          <w:szCs w:val="24"/>
          <w:lang w:val="en-US"/>
        </w:rPr>
        <w:t xml:space="preserve">the </w:t>
      </w:r>
      <w:r>
        <w:rPr>
          <w:rFonts w:ascii="Times New Roman" w:hAnsi="Times New Roman" w:cs="Times New Roman"/>
          <w:sz w:val="24"/>
          <w:szCs w:val="24"/>
          <w:lang w:val="en-US"/>
        </w:rPr>
        <w:t>Lithuanian University of Health Sciences</w:t>
      </w:r>
      <w:r w:rsidR="00AF5C45">
        <w:rPr>
          <w:rFonts w:ascii="Times New Roman" w:hAnsi="Times New Roman" w:cs="Times New Roman"/>
          <w:sz w:val="24"/>
          <w:szCs w:val="24"/>
          <w:lang w:val="en-US"/>
        </w:rPr>
        <w:t xml:space="preserve">, </w:t>
      </w:r>
      <w:r w:rsidR="00825536">
        <w:rPr>
          <w:rFonts w:ascii="Times New Roman" w:hAnsi="Times New Roman" w:cs="Times New Roman"/>
          <w:sz w:val="24"/>
          <w:szCs w:val="24"/>
          <w:lang w:val="en-US"/>
        </w:rPr>
        <w:t>aiming</w:t>
      </w:r>
      <w:r>
        <w:rPr>
          <w:rFonts w:ascii="Times New Roman" w:hAnsi="Times New Roman" w:cs="Times New Roman"/>
          <w:sz w:val="24"/>
          <w:szCs w:val="24"/>
          <w:lang w:val="en-US"/>
        </w:rPr>
        <w:t xml:space="preserve"> to specialize in orthodontics after graduation. </w:t>
      </w:r>
      <w:r w:rsidR="00825536">
        <w:rPr>
          <w:rFonts w:ascii="Times New Roman" w:hAnsi="Times New Roman" w:cs="Times New Roman"/>
          <w:sz w:val="24"/>
          <w:szCs w:val="24"/>
          <w:lang w:val="en-US"/>
        </w:rPr>
        <w:t>E</w:t>
      </w:r>
      <w:r w:rsidR="00AF5C45">
        <w:rPr>
          <w:rFonts w:ascii="Times New Roman" w:hAnsi="Times New Roman" w:cs="Times New Roman"/>
          <w:sz w:val="24"/>
          <w:szCs w:val="24"/>
          <w:lang w:val="en-US"/>
        </w:rPr>
        <w:t xml:space="preserve">ager to </w:t>
      </w:r>
      <w:r w:rsidR="00825536">
        <w:rPr>
          <w:rFonts w:ascii="Times New Roman" w:hAnsi="Times New Roman" w:cs="Times New Roman"/>
          <w:sz w:val="24"/>
          <w:szCs w:val="24"/>
          <w:lang w:val="en-US"/>
        </w:rPr>
        <w:t>deepen his expertise, he actively participates in conferences, engages in clinical rotations, and is currently conducting research in orthodontics.</w:t>
      </w:r>
    </w:p>
    <w:p w14:paraId="65FD6C55" w14:textId="2AB9F863" w:rsidR="00924306" w:rsidRDefault="00924306" w:rsidP="00AF5C45">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About Research Topic</w:t>
      </w:r>
    </w:p>
    <w:p w14:paraId="3B7AADE1" w14:textId="52760D0A" w:rsidR="00924306" w:rsidRDefault="00515121" w:rsidP="00AF5C45">
      <w:pPr>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00924306" w:rsidRPr="00924306">
        <w:rPr>
          <w:rFonts w:ascii="Times New Roman" w:hAnsi="Times New Roman" w:cs="Times New Roman"/>
          <w:sz w:val="24"/>
          <w:szCs w:val="24"/>
          <w:lang w:val="en-US"/>
        </w:rPr>
        <w:t>t the end of orthodontic treatment,</w:t>
      </w:r>
      <w:r>
        <w:rPr>
          <w:rFonts w:ascii="Times New Roman" w:hAnsi="Times New Roman" w:cs="Times New Roman"/>
          <w:sz w:val="24"/>
          <w:szCs w:val="24"/>
          <w:lang w:val="en-US"/>
        </w:rPr>
        <w:t xml:space="preserve"> bracket debonding poses a</w:t>
      </w:r>
      <w:r w:rsidR="00924306" w:rsidRPr="00924306">
        <w:rPr>
          <w:rFonts w:ascii="Times New Roman" w:hAnsi="Times New Roman" w:cs="Times New Roman"/>
          <w:sz w:val="24"/>
          <w:szCs w:val="24"/>
          <w:lang w:val="en-US"/>
        </w:rPr>
        <w:t xml:space="preserve"> risk of enamel fracture or even tear-out. </w:t>
      </w:r>
      <w:r w:rsidR="00287642">
        <w:rPr>
          <w:rFonts w:ascii="Times New Roman" w:hAnsi="Times New Roman" w:cs="Times New Roman"/>
          <w:sz w:val="24"/>
          <w:szCs w:val="24"/>
          <w:lang w:val="en-US"/>
        </w:rPr>
        <w:t>Several risk factors contribute to this</w:t>
      </w:r>
      <w:r w:rsidR="005855A3">
        <w:rPr>
          <w:rFonts w:ascii="Times New Roman" w:hAnsi="Times New Roman" w:cs="Times New Roman"/>
          <w:sz w:val="24"/>
          <w:szCs w:val="24"/>
          <w:lang w:val="en-US"/>
        </w:rPr>
        <w:t xml:space="preserve">, </w:t>
      </w:r>
      <w:r w:rsidR="00924306" w:rsidRPr="00924306">
        <w:rPr>
          <w:rFonts w:ascii="Times New Roman" w:hAnsi="Times New Roman" w:cs="Times New Roman"/>
          <w:sz w:val="24"/>
          <w:szCs w:val="24"/>
          <w:lang w:val="en-US"/>
        </w:rPr>
        <w:t>including the type of instrument and force used for bracket debonding, the type of material and protocol used to bond brackets, the bond strength between the enamel and adhesive, and the type of bracket used for treatment.</w:t>
      </w:r>
      <w:r w:rsidR="005855A3">
        <w:rPr>
          <w:rFonts w:ascii="Times New Roman" w:hAnsi="Times New Roman" w:cs="Times New Roman"/>
          <w:sz w:val="24"/>
          <w:szCs w:val="24"/>
          <w:lang w:val="en-US"/>
        </w:rPr>
        <w:t xml:space="preserve"> Lower SBS values result in</w:t>
      </w:r>
      <w:r w:rsidR="00287642">
        <w:rPr>
          <w:rFonts w:ascii="Times New Roman" w:hAnsi="Times New Roman" w:cs="Times New Roman"/>
          <w:sz w:val="24"/>
          <w:szCs w:val="24"/>
          <w:lang w:val="en-US"/>
        </w:rPr>
        <w:t xml:space="preserve"> weaker bond between enamel and resin, leading to bond failure at the adhesive-enamel interface. However, cohesive or adhesive-bracket bond failure is generally considered ‘safer’ because it leaves the enamel surface relatively intact.</w:t>
      </w:r>
    </w:p>
    <w:p w14:paraId="485A0DF7" w14:textId="6106EF37" w:rsidR="00C72059" w:rsidRDefault="00C72059" w:rsidP="00AF5C45">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About Institution:</w:t>
      </w:r>
    </w:p>
    <w:p w14:paraId="6213EDD1" w14:textId="0B31C8DC" w:rsidR="00C72059" w:rsidRDefault="00C72059" w:rsidP="00AF5C45">
      <w:pPr>
        <w:jc w:val="both"/>
        <w:rPr>
          <w:rFonts w:ascii="Times New Roman" w:hAnsi="Times New Roman" w:cs="Times New Roman"/>
          <w:sz w:val="24"/>
          <w:szCs w:val="24"/>
          <w:lang w:val="en-US"/>
        </w:rPr>
      </w:pPr>
      <w:r w:rsidRPr="00C72059">
        <w:rPr>
          <w:rFonts w:ascii="Times New Roman" w:hAnsi="Times New Roman" w:cs="Times New Roman"/>
          <w:sz w:val="24"/>
          <w:szCs w:val="24"/>
          <w:lang w:val="en-US"/>
        </w:rPr>
        <w:t xml:space="preserve">Lithuanian University of Health Sciences (LSMU) is the largest institution of higher education for biomedical sciences in Lithuania, successfully integrating studies, research, and clinical practice. LSMU offers all-level, integrated and residency study </w:t>
      </w:r>
      <w:proofErr w:type="spellStart"/>
      <w:r w:rsidRPr="00C72059">
        <w:rPr>
          <w:rFonts w:ascii="Times New Roman" w:hAnsi="Times New Roman" w:cs="Times New Roman"/>
          <w:sz w:val="24"/>
          <w:szCs w:val="24"/>
          <w:lang w:val="en-US"/>
        </w:rPr>
        <w:t>programmes</w:t>
      </w:r>
      <w:proofErr w:type="spellEnd"/>
      <w:r w:rsidRPr="00C72059">
        <w:rPr>
          <w:rFonts w:ascii="Times New Roman" w:hAnsi="Times New Roman" w:cs="Times New Roman"/>
          <w:sz w:val="24"/>
          <w:szCs w:val="24"/>
          <w:lang w:val="en-US"/>
        </w:rPr>
        <w:t xml:space="preserve"> focused on health, life, agricultural and veterinary sciences. It trains doctors, pharmacists, odontologists, nurses, specialists in rehabilitation, public health, veterinary medicine, animal sciences and other healthcare specialists. LSMU is a significant </w:t>
      </w:r>
      <w:proofErr w:type="spellStart"/>
      <w:r w:rsidRPr="00C72059">
        <w:rPr>
          <w:rFonts w:ascii="Times New Roman" w:hAnsi="Times New Roman" w:cs="Times New Roman"/>
          <w:sz w:val="24"/>
          <w:szCs w:val="24"/>
          <w:lang w:val="en-US"/>
        </w:rPr>
        <w:t>centre</w:t>
      </w:r>
      <w:proofErr w:type="spellEnd"/>
      <w:r w:rsidRPr="00C72059">
        <w:rPr>
          <w:rFonts w:ascii="Times New Roman" w:hAnsi="Times New Roman" w:cs="Times New Roman"/>
          <w:sz w:val="24"/>
          <w:szCs w:val="24"/>
          <w:lang w:val="en-US"/>
        </w:rPr>
        <w:t xml:space="preserve"> of scientific activity in Lithuania and internationally: research in the fields of biomedicine and agricultural sciences is being developed, experimental development is taking place, and young researchers are being trained.</w:t>
      </w:r>
    </w:p>
    <w:p w14:paraId="0FF36203" w14:textId="29C189D5" w:rsidR="00C72059" w:rsidRDefault="00C72059" w:rsidP="00AF5C45">
      <w:pPr>
        <w:jc w:val="both"/>
        <w:rPr>
          <w:rFonts w:ascii="Times New Roman" w:hAnsi="Times New Roman" w:cs="Times New Roman"/>
          <w:b/>
          <w:bCs/>
          <w:sz w:val="24"/>
          <w:szCs w:val="24"/>
          <w:lang w:val="en-US"/>
        </w:rPr>
      </w:pPr>
      <w:r w:rsidRPr="00C72059">
        <w:rPr>
          <w:rFonts w:ascii="Times New Roman" w:hAnsi="Times New Roman" w:cs="Times New Roman"/>
          <w:b/>
          <w:bCs/>
          <w:sz w:val="24"/>
          <w:szCs w:val="24"/>
          <w:lang w:val="en-US"/>
        </w:rPr>
        <w:t>References:</w:t>
      </w:r>
    </w:p>
    <w:sdt>
      <w:sdtPr>
        <w:rPr>
          <w:rFonts w:ascii="Times New Roman" w:hAnsi="Times New Roman" w:cs="Times New Roman"/>
          <w:bCs/>
          <w:color w:val="000000"/>
          <w:sz w:val="24"/>
          <w:szCs w:val="24"/>
          <w:lang w:val="en-US"/>
        </w:rPr>
        <w:tag w:val="MENDELEY_BIBLIOGRAPHY"/>
        <w:id w:val="-577519098"/>
        <w:placeholder>
          <w:docPart w:val="DefaultPlaceholder_-1854013440"/>
        </w:placeholder>
      </w:sdtPr>
      <w:sdtContent>
        <w:p w14:paraId="655AC005" w14:textId="77777777" w:rsidR="00494DE7" w:rsidRPr="00494DE7" w:rsidRDefault="00494DE7" w:rsidP="00494DE7">
          <w:pPr>
            <w:autoSpaceDE w:val="0"/>
            <w:autoSpaceDN w:val="0"/>
            <w:ind w:hanging="640"/>
            <w:jc w:val="both"/>
            <w:divId w:val="900555264"/>
            <w:rPr>
              <w:rFonts w:ascii="Times New Roman" w:eastAsia="Times New Roman" w:hAnsi="Times New Roman" w:cs="Times New Roman"/>
              <w:color w:val="000000"/>
              <w:sz w:val="24"/>
              <w:szCs w:val="24"/>
              <w:lang w:val="en-US"/>
            </w:rPr>
          </w:pPr>
          <w:r w:rsidRPr="00494DE7">
            <w:rPr>
              <w:rFonts w:eastAsia="Times New Roman"/>
              <w:color w:val="000000"/>
              <w:lang w:val="en-US"/>
            </w:rPr>
            <w:t xml:space="preserve">1. </w:t>
          </w:r>
          <w:r w:rsidRPr="00494DE7">
            <w:rPr>
              <w:rFonts w:eastAsia="Times New Roman"/>
              <w:color w:val="000000"/>
              <w:lang w:val="en-US"/>
            </w:rPr>
            <w:tab/>
          </w:r>
          <w:proofErr w:type="spellStart"/>
          <w:r w:rsidRPr="00494DE7">
            <w:rPr>
              <w:rFonts w:ascii="Times New Roman" w:eastAsia="Times New Roman" w:hAnsi="Times New Roman" w:cs="Times New Roman"/>
              <w:color w:val="000000"/>
              <w:sz w:val="24"/>
              <w:szCs w:val="24"/>
              <w:lang w:val="en-US"/>
            </w:rPr>
            <w:t>Ugurlu</w:t>
          </w:r>
          <w:proofErr w:type="spellEnd"/>
          <w:r w:rsidRPr="00494DE7">
            <w:rPr>
              <w:rFonts w:ascii="Times New Roman" w:eastAsia="Times New Roman" w:hAnsi="Times New Roman" w:cs="Times New Roman"/>
              <w:color w:val="000000"/>
              <w:sz w:val="24"/>
              <w:szCs w:val="24"/>
              <w:lang w:val="en-US"/>
            </w:rPr>
            <w:t xml:space="preserve"> M, </w:t>
          </w:r>
          <w:proofErr w:type="spellStart"/>
          <w:r w:rsidRPr="00494DE7">
            <w:rPr>
              <w:rFonts w:ascii="Times New Roman" w:eastAsia="Times New Roman" w:hAnsi="Times New Roman" w:cs="Times New Roman"/>
              <w:color w:val="000000"/>
              <w:sz w:val="24"/>
              <w:szCs w:val="24"/>
              <w:lang w:val="en-US"/>
            </w:rPr>
            <w:t>Buyukcavus</w:t>
          </w:r>
          <w:proofErr w:type="spellEnd"/>
          <w:r w:rsidRPr="00494DE7">
            <w:rPr>
              <w:rFonts w:ascii="Times New Roman" w:eastAsia="Times New Roman" w:hAnsi="Times New Roman" w:cs="Times New Roman"/>
              <w:color w:val="000000"/>
              <w:sz w:val="24"/>
              <w:szCs w:val="24"/>
              <w:lang w:val="en-US"/>
            </w:rPr>
            <w:t xml:space="preserve"> MH. The Performance of Universal Adhesives on Orthodontic Bracket Bonding. European J Gen Dent. 2021 Jan 11;10(01):019–24. </w:t>
          </w:r>
        </w:p>
        <w:p w14:paraId="6585656B" w14:textId="77777777" w:rsidR="00494DE7" w:rsidRPr="00494DE7" w:rsidRDefault="00494DE7" w:rsidP="00494DE7">
          <w:pPr>
            <w:autoSpaceDE w:val="0"/>
            <w:autoSpaceDN w:val="0"/>
            <w:ind w:hanging="640"/>
            <w:jc w:val="both"/>
            <w:divId w:val="793329712"/>
            <w:rPr>
              <w:rFonts w:ascii="Times New Roman" w:eastAsia="Times New Roman" w:hAnsi="Times New Roman" w:cs="Times New Roman"/>
              <w:color w:val="000000"/>
              <w:sz w:val="24"/>
              <w:szCs w:val="24"/>
              <w:lang w:val="en-US"/>
            </w:rPr>
          </w:pPr>
          <w:r w:rsidRPr="00494DE7">
            <w:rPr>
              <w:rFonts w:ascii="Times New Roman" w:eastAsia="Times New Roman" w:hAnsi="Times New Roman" w:cs="Times New Roman"/>
              <w:color w:val="000000"/>
              <w:sz w:val="24"/>
              <w:szCs w:val="24"/>
              <w:lang w:val="en-US"/>
            </w:rPr>
            <w:t xml:space="preserve">2. </w:t>
          </w:r>
          <w:r w:rsidRPr="00494DE7">
            <w:rPr>
              <w:rFonts w:ascii="Times New Roman" w:eastAsia="Times New Roman" w:hAnsi="Times New Roman" w:cs="Times New Roman"/>
              <w:color w:val="000000"/>
              <w:sz w:val="24"/>
              <w:szCs w:val="24"/>
              <w:lang w:val="en-US"/>
            </w:rPr>
            <w:tab/>
          </w:r>
          <w:proofErr w:type="spellStart"/>
          <w:r w:rsidRPr="00494DE7">
            <w:rPr>
              <w:rFonts w:ascii="Times New Roman" w:eastAsia="Times New Roman" w:hAnsi="Times New Roman" w:cs="Times New Roman"/>
              <w:color w:val="000000"/>
              <w:sz w:val="24"/>
              <w:szCs w:val="24"/>
              <w:lang w:val="en-US"/>
            </w:rPr>
            <w:t>Juntavee</w:t>
          </w:r>
          <w:proofErr w:type="spellEnd"/>
          <w:r w:rsidRPr="00494DE7">
            <w:rPr>
              <w:rFonts w:ascii="Times New Roman" w:eastAsia="Times New Roman" w:hAnsi="Times New Roman" w:cs="Times New Roman"/>
              <w:color w:val="000000"/>
              <w:sz w:val="24"/>
              <w:szCs w:val="24"/>
              <w:lang w:val="en-US"/>
            </w:rPr>
            <w:t xml:space="preserve"> P, </w:t>
          </w:r>
          <w:proofErr w:type="spellStart"/>
          <w:r w:rsidRPr="00494DE7">
            <w:rPr>
              <w:rFonts w:ascii="Times New Roman" w:eastAsia="Times New Roman" w:hAnsi="Times New Roman" w:cs="Times New Roman"/>
              <w:color w:val="000000"/>
              <w:sz w:val="24"/>
              <w:szCs w:val="24"/>
              <w:lang w:val="en-US"/>
            </w:rPr>
            <w:t>Kumchai</w:t>
          </w:r>
          <w:proofErr w:type="spellEnd"/>
          <w:r w:rsidRPr="00494DE7">
            <w:rPr>
              <w:rFonts w:ascii="Times New Roman" w:eastAsia="Times New Roman" w:hAnsi="Times New Roman" w:cs="Times New Roman"/>
              <w:color w:val="000000"/>
              <w:sz w:val="24"/>
              <w:szCs w:val="24"/>
              <w:lang w:val="en-US"/>
            </w:rPr>
            <w:t xml:space="preserve"> H, </w:t>
          </w:r>
          <w:proofErr w:type="spellStart"/>
          <w:r w:rsidRPr="00494DE7">
            <w:rPr>
              <w:rFonts w:ascii="Times New Roman" w:eastAsia="Times New Roman" w:hAnsi="Times New Roman" w:cs="Times New Roman"/>
              <w:color w:val="000000"/>
              <w:sz w:val="24"/>
              <w:szCs w:val="24"/>
              <w:lang w:val="en-US"/>
            </w:rPr>
            <w:t>Juntavee</w:t>
          </w:r>
          <w:proofErr w:type="spellEnd"/>
          <w:r w:rsidRPr="00494DE7">
            <w:rPr>
              <w:rFonts w:ascii="Times New Roman" w:eastAsia="Times New Roman" w:hAnsi="Times New Roman" w:cs="Times New Roman"/>
              <w:color w:val="000000"/>
              <w:sz w:val="24"/>
              <w:szCs w:val="24"/>
              <w:lang w:val="en-US"/>
            </w:rPr>
            <w:t xml:space="preserve"> N, Nathanson D. Effect of Ceramic Surface Treatment and Adhesive Systems on Bond Strength of Metallic Brackets. Int J Dent. 2020 May </w:t>
          </w:r>
          <w:proofErr w:type="gramStart"/>
          <w:r w:rsidRPr="00494DE7">
            <w:rPr>
              <w:rFonts w:ascii="Times New Roman" w:eastAsia="Times New Roman" w:hAnsi="Times New Roman" w:cs="Times New Roman"/>
              <w:color w:val="000000"/>
              <w:sz w:val="24"/>
              <w:szCs w:val="24"/>
              <w:lang w:val="en-US"/>
            </w:rPr>
            <w:t>25;2020:1</w:t>
          </w:r>
          <w:proofErr w:type="gramEnd"/>
          <w:r w:rsidRPr="00494DE7">
            <w:rPr>
              <w:rFonts w:ascii="Times New Roman" w:eastAsia="Times New Roman" w:hAnsi="Times New Roman" w:cs="Times New Roman"/>
              <w:color w:val="000000"/>
              <w:sz w:val="24"/>
              <w:szCs w:val="24"/>
              <w:lang w:val="en-US"/>
            </w:rPr>
            <w:t xml:space="preserve">–8. </w:t>
          </w:r>
        </w:p>
        <w:p w14:paraId="49909F66" w14:textId="77777777" w:rsidR="00494DE7" w:rsidRPr="00494DE7" w:rsidRDefault="00494DE7" w:rsidP="00494DE7">
          <w:pPr>
            <w:autoSpaceDE w:val="0"/>
            <w:autoSpaceDN w:val="0"/>
            <w:ind w:hanging="640"/>
            <w:jc w:val="both"/>
            <w:divId w:val="2063824394"/>
            <w:rPr>
              <w:rFonts w:ascii="Times New Roman" w:eastAsia="Times New Roman" w:hAnsi="Times New Roman" w:cs="Times New Roman"/>
              <w:color w:val="000000"/>
              <w:sz w:val="24"/>
              <w:szCs w:val="24"/>
              <w:lang w:val="en-US"/>
            </w:rPr>
          </w:pPr>
          <w:r w:rsidRPr="00494DE7">
            <w:rPr>
              <w:rFonts w:ascii="Times New Roman" w:eastAsia="Times New Roman" w:hAnsi="Times New Roman" w:cs="Times New Roman"/>
              <w:color w:val="000000"/>
              <w:sz w:val="24"/>
              <w:szCs w:val="24"/>
              <w:lang w:val="en-US"/>
            </w:rPr>
            <w:t xml:space="preserve">3. </w:t>
          </w:r>
          <w:r w:rsidRPr="00494DE7">
            <w:rPr>
              <w:rFonts w:ascii="Times New Roman" w:eastAsia="Times New Roman" w:hAnsi="Times New Roman" w:cs="Times New Roman"/>
              <w:color w:val="000000"/>
              <w:sz w:val="24"/>
              <w:szCs w:val="24"/>
              <w:lang w:val="en-US"/>
            </w:rPr>
            <w:tab/>
            <w:t xml:space="preserve">Cochrane NJ, Lo TWG, Adams GG, Schneider PM. Quantitative analysis of enamel on </w:t>
          </w:r>
          <w:proofErr w:type="spellStart"/>
          <w:r w:rsidRPr="00494DE7">
            <w:rPr>
              <w:rFonts w:ascii="Times New Roman" w:eastAsia="Times New Roman" w:hAnsi="Times New Roman" w:cs="Times New Roman"/>
              <w:color w:val="000000"/>
              <w:sz w:val="24"/>
              <w:szCs w:val="24"/>
              <w:lang w:val="en-US"/>
            </w:rPr>
            <w:t>debonded</w:t>
          </w:r>
          <w:proofErr w:type="spellEnd"/>
          <w:r w:rsidRPr="00494DE7">
            <w:rPr>
              <w:rFonts w:ascii="Times New Roman" w:eastAsia="Times New Roman" w:hAnsi="Times New Roman" w:cs="Times New Roman"/>
              <w:color w:val="000000"/>
              <w:sz w:val="24"/>
              <w:szCs w:val="24"/>
              <w:lang w:val="en-US"/>
            </w:rPr>
            <w:t xml:space="preserve"> orthodontic brackets. American Journal of Orthodontics and Dentofacial Orthopedics. 2017 Sep;152(3):312–9. </w:t>
          </w:r>
        </w:p>
        <w:p w14:paraId="4C3FEA9D" w14:textId="77777777" w:rsidR="00494DE7" w:rsidRPr="00494DE7" w:rsidRDefault="00494DE7" w:rsidP="00494DE7">
          <w:pPr>
            <w:autoSpaceDE w:val="0"/>
            <w:autoSpaceDN w:val="0"/>
            <w:ind w:hanging="640"/>
            <w:jc w:val="both"/>
            <w:divId w:val="379794191"/>
            <w:rPr>
              <w:rFonts w:ascii="Times New Roman" w:eastAsia="Times New Roman" w:hAnsi="Times New Roman" w:cs="Times New Roman"/>
              <w:color w:val="000000"/>
              <w:sz w:val="24"/>
              <w:szCs w:val="24"/>
              <w:lang w:val="en-US"/>
            </w:rPr>
          </w:pPr>
          <w:r w:rsidRPr="00494DE7">
            <w:rPr>
              <w:rFonts w:ascii="Times New Roman" w:eastAsia="Times New Roman" w:hAnsi="Times New Roman" w:cs="Times New Roman"/>
              <w:color w:val="000000"/>
              <w:sz w:val="24"/>
              <w:szCs w:val="24"/>
              <w:lang w:val="en-US"/>
            </w:rPr>
            <w:t xml:space="preserve">4. </w:t>
          </w:r>
          <w:r w:rsidRPr="00494DE7">
            <w:rPr>
              <w:rFonts w:ascii="Times New Roman" w:eastAsia="Times New Roman" w:hAnsi="Times New Roman" w:cs="Times New Roman"/>
              <w:color w:val="000000"/>
              <w:sz w:val="24"/>
              <w:szCs w:val="24"/>
              <w:lang w:val="en-US"/>
            </w:rPr>
            <w:tab/>
            <w:t xml:space="preserve">Abbas AS, </w:t>
          </w:r>
          <w:proofErr w:type="spellStart"/>
          <w:r w:rsidRPr="00494DE7">
            <w:rPr>
              <w:rFonts w:ascii="Times New Roman" w:eastAsia="Times New Roman" w:hAnsi="Times New Roman" w:cs="Times New Roman"/>
              <w:color w:val="000000"/>
              <w:sz w:val="24"/>
              <w:szCs w:val="24"/>
              <w:lang w:val="en-US"/>
            </w:rPr>
            <w:t>Jarjees</w:t>
          </w:r>
          <w:proofErr w:type="spellEnd"/>
          <w:r w:rsidRPr="00494DE7">
            <w:rPr>
              <w:rFonts w:ascii="Times New Roman" w:eastAsia="Times New Roman" w:hAnsi="Times New Roman" w:cs="Times New Roman"/>
              <w:color w:val="000000"/>
              <w:sz w:val="24"/>
              <w:szCs w:val="24"/>
              <w:lang w:val="en-US"/>
            </w:rPr>
            <w:t xml:space="preserve"> HT. Comparison between adhesive remnant index of shear bond strength and tensile bond strength: An in vitro experimental study. International Journal of Applied Dental Sciences. 2023 Jan 1;9(3):340–5. </w:t>
          </w:r>
        </w:p>
        <w:p w14:paraId="4B186BB7" w14:textId="77777777" w:rsidR="00494DE7" w:rsidRPr="00494DE7" w:rsidRDefault="00494DE7" w:rsidP="00494DE7">
          <w:pPr>
            <w:autoSpaceDE w:val="0"/>
            <w:autoSpaceDN w:val="0"/>
            <w:ind w:hanging="640"/>
            <w:jc w:val="both"/>
            <w:divId w:val="1581526032"/>
            <w:rPr>
              <w:rFonts w:ascii="Times New Roman" w:eastAsia="Times New Roman" w:hAnsi="Times New Roman" w:cs="Times New Roman"/>
              <w:color w:val="000000"/>
              <w:sz w:val="24"/>
              <w:szCs w:val="24"/>
            </w:rPr>
          </w:pPr>
          <w:r w:rsidRPr="00494DE7">
            <w:rPr>
              <w:rFonts w:ascii="Times New Roman" w:eastAsia="Times New Roman" w:hAnsi="Times New Roman" w:cs="Times New Roman"/>
              <w:color w:val="000000"/>
              <w:sz w:val="24"/>
              <w:szCs w:val="24"/>
              <w:lang w:val="en-US"/>
            </w:rPr>
            <w:t xml:space="preserve">5. </w:t>
          </w:r>
          <w:r w:rsidRPr="00494DE7">
            <w:rPr>
              <w:rFonts w:ascii="Times New Roman" w:eastAsia="Times New Roman" w:hAnsi="Times New Roman" w:cs="Times New Roman"/>
              <w:color w:val="000000"/>
              <w:sz w:val="24"/>
              <w:szCs w:val="24"/>
              <w:lang w:val="en-US"/>
            </w:rPr>
            <w:tab/>
            <w:t xml:space="preserve">Henkin F de S, Macêdo É de OD de, Santos K da S, Schwarzbach M, Samuel SMW, Mundstock KS. In vitro analysis of shear bond strength and adhesive remnant index of different metal brackets. </w:t>
          </w:r>
          <w:r w:rsidRPr="00494DE7">
            <w:rPr>
              <w:rFonts w:ascii="Times New Roman" w:eastAsia="Times New Roman" w:hAnsi="Times New Roman" w:cs="Times New Roman"/>
              <w:color w:val="000000"/>
              <w:sz w:val="24"/>
              <w:szCs w:val="24"/>
            </w:rPr>
            <w:t xml:space="preserve">Dental Press J </w:t>
          </w:r>
          <w:proofErr w:type="spellStart"/>
          <w:r w:rsidRPr="00494DE7">
            <w:rPr>
              <w:rFonts w:ascii="Times New Roman" w:eastAsia="Times New Roman" w:hAnsi="Times New Roman" w:cs="Times New Roman"/>
              <w:color w:val="000000"/>
              <w:sz w:val="24"/>
              <w:szCs w:val="24"/>
            </w:rPr>
            <w:t>Orthod</w:t>
          </w:r>
          <w:proofErr w:type="spellEnd"/>
          <w:r w:rsidRPr="00494DE7">
            <w:rPr>
              <w:rFonts w:ascii="Times New Roman" w:eastAsia="Times New Roman" w:hAnsi="Times New Roman" w:cs="Times New Roman"/>
              <w:color w:val="000000"/>
              <w:sz w:val="24"/>
              <w:szCs w:val="24"/>
            </w:rPr>
            <w:t xml:space="preserve">. 2016 Dec;21(6):67–73. </w:t>
          </w:r>
        </w:p>
        <w:p w14:paraId="00D16AFA" w14:textId="02E92DCA" w:rsidR="00494DE7" w:rsidRPr="00C72059" w:rsidRDefault="00494DE7" w:rsidP="00AF5C45">
          <w:pPr>
            <w:jc w:val="both"/>
            <w:rPr>
              <w:rFonts w:ascii="Times New Roman" w:hAnsi="Times New Roman" w:cs="Times New Roman"/>
              <w:b/>
              <w:bCs/>
              <w:sz w:val="24"/>
              <w:szCs w:val="24"/>
              <w:lang w:val="en-US"/>
            </w:rPr>
          </w:pPr>
          <w:r w:rsidRPr="00494DE7">
            <w:rPr>
              <w:rFonts w:eastAsia="Times New Roman"/>
              <w:color w:val="000000"/>
            </w:rPr>
            <w:t> </w:t>
          </w:r>
        </w:p>
      </w:sdtContent>
    </w:sdt>
    <w:p w14:paraId="72A2436B" w14:textId="77777777" w:rsidR="00C72059" w:rsidRPr="00C72059" w:rsidRDefault="00C72059" w:rsidP="00AF5C45">
      <w:pPr>
        <w:jc w:val="both"/>
        <w:rPr>
          <w:rFonts w:ascii="Times New Roman" w:hAnsi="Times New Roman" w:cs="Times New Roman"/>
          <w:sz w:val="24"/>
          <w:szCs w:val="24"/>
          <w:lang w:val="en-US"/>
        </w:rPr>
      </w:pPr>
    </w:p>
    <w:sectPr w:rsidR="00C72059" w:rsidRPr="00C72059">
      <w:pgSz w:w="11906" w:h="16838"/>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226"/>
    <w:rsid w:val="001025C8"/>
    <w:rsid w:val="00140E89"/>
    <w:rsid w:val="00151572"/>
    <w:rsid w:val="00287642"/>
    <w:rsid w:val="00494DE7"/>
    <w:rsid w:val="00515121"/>
    <w:rsid w:val="00515E7B"/>
    <w:rsid w:val="00557226"/>
    <w:rsid w:val="005855A3"/>
    <w:rsid w:val="00825536"/>
    <w:rsid w:val="00924306"/>
    <w:rsid w:val="00AF5C45"/>
    <w:rsid w:val="00C72059"/>
    <w:rsid w:val="00DF6413"/>
    <w:rsid w:val="00EA5F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298AF"/>
  <w15:chartTrackingRefBased/>
  <w15:docId w15:val="{9944DBCC-179B-48E5-92A2-0307E124D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DF641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F6413"/>
    <w:rPr>
      <w:rFonts w:ascii="Segoe UI" w:hAnsi="Segoe UI" w:cs="Segoe UI"/>
      <w:sz w:val="18"/>
      <w:szCs w:val="18"/>
    </w:rPr>
  </w:style>
  <w:style w:type="character" w:styleId="Hipersaitas">
    <w:name w:val="Hyperlink"/>
    <w:basedOn w:val="Numatytasispastraiposriftas"/>
    <w:uiPriority w:val="99"/>
    <w:unhideWhenUsed/>
    <w:rsid w:val="00DF6413"/>
    <w:rPr>
      <w:color w:val="0563C1" w:themeColor="hyperlink"/>
      <w:u w:val="single"/>
    </w:rPr>
  </w:style>
  <w:style w:type="character" w:styleId="Vietosrezervavimoenklotekstas">
    <w:name w:val="Placeholder Text"/>
    <w:basedOn w:val="Numatytasispastraiposriftas"/>
    <w:uiPriority w:val="99"/>
    <w:semiHidden/>
    <w:rsid w:val="00494DE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12415">
      <w:bodyDiv w:val="1"/>
      <w:marLeft w:val="0"/>
      <w:marRight w:val="0"/>
      <w:marTop w:val="0"/>
      <w:marBottom w:val="0"/>
      <w:divBdr>
        <w:top w:val="none" w:sz="0" w:space="0" w:color="auto"/>
        <w:left w:val="none" w:sz="0" w:space="0" w:color="auto"/>
        <w:bottom w:val="none" w:sz="0" w:space="0" w:color="auto"/>
        <w:right w:val="none" w:sz="0" w:space="0" w:color="auto"/>
      </w:divBdr>
    </w:div>
    <w:div w:id="140729355">
      <w:bodyDiv w:val="1"/>
      <w:marLeft w:val="0"/>
      <w:marRight w:val="0"/>
      <w:marTop w:val="0"/>
      <w:marBottom w:val="0"/>
      <w:divBdr>
        <w:top w:val="none" w:sz="0" w:space="0" w:color="auto"/>
        <w:left w:val="none" w:sz="0" w:space="0" w:color="auto"/>
        <w:bottom w:val="none" w:sz="0" w:space="0" w:color="auto"/>
        <w:right w:val="none" w:sz="0" w:space="0" w:color="auto"/>
      </w:divBdr>
    </w:div>
    <w:div w:id="182935966">
      <w:bodyDiv w:val="1"/>
      <w:marLeft w:val="0"/>
      <w:marRight w:val="0"/>
      <w:marTop w:val="0"/>
      <w:marBottom w:val="0"/>
      <w:divBdr>
        <w:top w:val="none" w:sz="0" w:space="0" w:color="auto"/>
        <w:left w:val="none" w:sz="0" w:space="0" w:color="auto"/>
        <w:bottom w:val="none" w:sz="0" w:space="0" w:color="auto"/>
        <w:right w:val="none" w:sz="0" w:space="0" w:color="auto"/>
      </w:divBdr>
    </w:div>
    <w:div w:id="286468764">
      <w:bodyDiv w:val="1"/>
      <w:marLeft w:val="0"/>
      <w:marRight w:val="0"/>
      <w:marTop w:val="0"/>
      <w:marBottom w:val="0"/>
      <w:divBdr>
        <w:top w:val="none" w:sz="0" w:space="0" w:color="auto"/>
        <w:left w:val="none" w:sz="0" w:space="0" w:color="auto"/>
        <w:bottom w:val="none" w:sz="0" w:space="0" w:color="auto"/>
        <w:right w:val="none" w:sz="0" w:space="0" w:color="auto"/>
      </w:divBdr>
    </w:div>
    <w:div w:id="407582164">
      <w:bodyDiv w:val="1"/>
      <w:marLeft w:val="0"/>
      <w:marRight w:val="0"/>
      <w:marTop w:val="0"/>
      <w:marBottom w:val="0"/>
      <w:divBdr>
        <w:top w:val="none" w:sz="0" w:space="0" w:color="auto"/>
        <w:left w:val="none" w:sz="0" w:space="0" w:color="auto"/>
        <w:bottom w:val="none" w:sz="0" w:space="0" w:color="auto"/>
        <w:right w:val="none" w:sz="0" w:space="0" w:color="auto"/>
      </w:divBdr>
    </w:div>
    <w:div w:id="763453026">
      <w:bodyDiv w:val="1"/>
      <w:marLeft w:val="0"/>
      <w:marRight w:val="0"/>
      <w:marTop w:val="0"/>
      <w:marBottom w:val="0"/>
      <w:divBdr>
        <w:top w:val="none" w:sz="0" w:space="0" w:color="auto"/>
        <w:left w:val="none" w:sz="0" w:space="0" w:color="auto"/>
        <w:bottom w:val="none" w:sz="0" w:space="0" w:color="auto"/>
        <w:right w:val="none" w:sz="0" w:space="0" w:color="auto"/>
      </w:divBdr>
    </w:div>
    <w:div w:id="814108207">
      <w:bodyDiv w:val="1"/>
      <w:marLeft w:val="0"/>
      <w:marRight w:val="0"/>
      <w:marTop w:val="0"/>
      <w:marBottom w:val="0"/>
      <w:divBdr>
        <w:top w:val="none" w:sz="0" w:space="0" w:color="auto"/>
        <w:left w:val="none" w:sz="0" w:space="0" w:color="auto"/>
        <w:bottom w:val="none" w:sz="0" w:space="0" w:color="auto"/>
        <w:right w:val="none" w:sz="0" w:space="0" w:color="auto"/>
      </w:divBdr>
    </w:div>
    <w:div w:id="989211370">
      <w:bodyDiv w:val="1"/>
      <w:marLeft w:val="0"/>
      <w:marRight w:val="0"/>
      <w:marTop w:val="0"/>
      <w:marBottom w:val="0"/>
      <w:divBdr>
        <w:top w:val="none" w:sz="0" w:space="0" w:color="auto"/>
        <w:left w:val="none" w:sz="0" w:space="0" w:color="auto"/>
        <w:bottom w:val="none" w:sz="0" w:space="0" w:color="auto"/>
        <w:right w:val="none" w:sz="0" w:space="0" w:color="auto"/>
      </w:divBdr>
    </w:div>
    <w:div w:id="1533762150">
      <w:bodyDiv w:val="1"/>
      <w:marLeft w:val="0"/>
      <w:marRight w:val="0"/>
      <w:marTop w:val="0"/>
      <w:marBottom w:val="0"/>
      <w:divBdr>
        <w:top w:val="none" w:sz="0" w:space="0" w:color="auto"/>
        <w:left w:val="none" w:sz="0" w:space="0" w:color="auto"/>
        <w:bottom w:val="none" w:sz="0" w:space="0" w:color="auto"/>
        <w:right w:val="none" w:sz="0" w:space="0" w:color="auto"/>
      </w:divBdr>
    </w:div>
    <w:div w:id="1660617317">
      <w:bodyDiv w:val="1"/>
      <w:marLeft w:val="0"/>
      <w:marRight w:val="0"/>
      <w:marTop w:val="0"/>
      <w:marBottom w:val="0"/>
      <w:divBdr>
        <w:top w:val="none" w:sz="0" w:space="0" w:color="auto"/>
        <w:left w:val="none" w:sz="0" w:space="0" w:color="auto"/>
        <w:bottom w:val="none" w:sz="0" w:space="0" w:color="auto"/>
        <w:right w:val="none" w:sz="0" w:space="0" w:color="auto"/>
      </w:divBdr>
    </w:div>
    <w:div w:id="1682126231">
      <w:bodyDiv w:val="1"/>
      <w:marLeft w:val="0"/>
      <w:marRight w:val="0"/>
      <w:marTop w:val="0"/>
      <w:marBottom w:val="0"/>
      <w:divBdr>
        <w:top w:val="none" w:sz="0" w:space="0" w:color="auto"/>
        <w:left w:val="none" w:sz="0" w:space="0" w:color="auto"/>
        <w:bottom w:val="none" w:sz="0" w:space="0" w:color="auto"/>
        <w:right w:val="none" w:sz="0" w:space="0" w:color="auto"/>
      </w:divBdr>
    </w:div>
    <w:div w:id="1765759418">
      <w:bodyDiv w:val="1"/>
      <w:marLeft w:val="0"/>
      <w:marRight w:val="0"/>
      <w:marTop w:val="0"/>
      <w:marBottom w:val="0"/>
      <w:divBdr>
        <w:top w:val="none" w:sz="0" w:space="0" w:color="auto"/>
        <w:left w:val="none" w:sz="0" w:space="0" w:color="auto"/>
        <w:bottom w:val="none" w:sz="0" w:space="0" w:color="auto"/>
        <w:right w:val="none" w:sz="0" w:space="0" w:color="auto"/>
      </w:divBdr>
      <w:divsChild>
        <w:div w:id="900555264">
          <w:marLeft w:val="640"/>
          <w:marRight w:val="0"/>
          <w:marTop w:val="0"/>
          <w:marBottom w:val="0"/>
          <w:divBdr>
            <w:top w:val="none" w:sz="0" w:space="0" w:color="auto"/>
            <w:left w:val="none" w:sz="0" w:space="0" w:color="auto"/>
            <w:bottom w:val="none" w:sz="0" w:space="0" w:color="auto"/>
            <w:right w:val="none" w:sz="0" w:space="0" w:color="auto"/>
          </w:divBdr>
        </w:div>
        <w:div w:id="793329712">
          <w:marLeft w:val="640"/>
          <w:marRight w:val="0"/>
          <w:marTop w:val="0"/>
          <w:marBottom w:val="0"/>
          <w:divBdr>
            <w:top w:val="none" w:sz="0" w:space="0" w:color="auto"/>
            <w:left w:val="none" w:sz="0" w:space="0" w:color="auto"/>
            <w:bottom w:val="none" w:sz="0" w:space="0" w:color="auto"/>
            <w:right w:val="none" w:sz="0" w:space="0" w:color="auto"/>
          </w:divBdr>
        </w:div>
        <w:div w:id="2063824394">
          <w:marLeft w:val="640"/>
          <w:marRight w:val="0"/>
          <w:marTop w:val="0"/>
          <w:marBottom w:val="0"/>
          <w:divBdr>
            <w:top w:val="none" w:sz="0" w:space="0" w:color="auto"/>
            <w:left w:val="none" w:sz="0" w:space="0" w:color="auto"/>
            <w:bottom w:val="none" w:sz="0" w:space="0" w:color="auto"/>
            <w:right w:val="none" w:sz="0" w:space="0" w:color="auto"/>
          </w:divBdr>
        </w:div>
        <w:div w:id="379794191">
          <w:marLeft w:val="640"/>
          <w:marRight w:val="0"/>
          <w:marTop w:val="0"/>
          <w:marBottom w:val="0"/>
          <w:divBdr>
            <w:top w:val="none" w:sz="0" w:space="0" w:color="auto"/>
            <w:left w:val="none" w:sz="0" w:space="0" w:color="auto"/>
            <w:bottom w:val="none" w:sz="0" w:space="0" w:color="auto"/>
            <w:right w:val="none" w:sz="0" w:space="0" w:color="auto"/>
          </w:divBdr>
        </w:div>
        <w:div w:id="1581526032">
          <w:marLeft w:val="640"/>
          <w:marRight w:val="0"/>
          <w:marTop w:val="0"/>
          <w:marBottom w:val="0"/>
          <w:divBdr>
            <w:top w:val="none" w:sz="0" w:space="0" w:color="auto"/>
            <w:left w:val="none" w:sz="0" w:space="0" w:color="auto"/>
            <w:bottom w:val="none" w:sz="0" w:space="0" w:color="auto"/>
            <w:right w:val="none" w:sz="0" w:space="0" w:color="auto"/>
          </w:divBdr>
        </w:div>
      </w:divsChild>
    </w:div>
    <w:div w:id="195632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Bendrosios nuostatos"/>
          <w:gallery w:val="placeholder"/>
        </w:category>
        <w:types>
          <w:type w:val="bbPlcHdr"/>
        </w:types>
        <w:behaviors>
          <w:behavior w:val="content"/>
        </w:behaviors>
        <w:guid w:val="{522EC7F5-D6B7-4D47-B085-13D732D8B3A4}"/>
      </w:docPartPr>
      <w:docPartBody>
        <w:p w:rsidR="00000000" w:rsidRDefault="00D4467D">
          <w:r w:rsidRPr="00E27E64">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9A5"/>
    <w:rsid w:val="00514CAA"/>
    <w:rsid w:val="00D4467D"/>
    <w:rsid w:val="00F3458C"/>
    <w:rsid w:val="00FE4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D4467D"/>
    <w:rPr>
      <w:color w:val="808080"/>
    </w:rPr>
  </w:style>
  <w:style w:type="paragraph" w:customStyle="1" w:styleId="D86DB1241DD547D8B14F4CA8AE6A7481">
    <w:name w:val="D86DB1241DD547D8B14F4CA8AE6A7481"/>
    <w:rsid w:val="00FE49A5"/>
  </w:style>
  <w:style w:type="paragraph" w:customStyle="1" w:styleId="8E78FEC6704746628E84D03C11A98866">
    <w:name w:val="8E78FEC6704746628E84D03C11A98866"/>
    <w:rsid w:val="00FE49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2E6DEC-D9CC-4611-A937-F2890E8F87B8}">
  <we:reference id="wa104382081" version="1.55.1.0" store="lt-LT" storeType="OMEX"/>
  <we:alternateReferences>
    <we:reference id="wa104382081" version="1.55.1.0" store="lt-LT" storeType="OMEX"/>
  </we:alternateReferences>
  <we:properties>
    <we:property name="MENDELEY_CITATIONS" value="[{&quot;citationID&quot;:&quot;MENDELEY_CITATION_f690e89a-61ea-45b2-b3d0-8328ab7dbac9&quot;,&quot;properties&quot;:{&quot;noteIndex&quot;:0},&quot;isEdited&quot;:false,&quot;manualOverride&quot;:{&quot;isManuallyOverridden&quot;:false,&quot;citeprocText&quot;:&quot;[1]&quot;,&quot;manualOverrideText&quot;:&quot;&quot;},&quot;citationTag&quot;:&quot;MENDELEY_CITATION_v3_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&quot;,&quot;citationItems&quot;:[{&quot;id&quot;:&quot;987851e4-8ac1-39d6-aa35-d8e042c85578&quot;,&quot;itemData&quot;:{&quot;type&quot;:&quot;article-journal&quot;,&quot;id&quot;:&quot;987851e4-8ac1-39d6-aa35-d8e042c85578&quot;,&quot;title&quot;:&quot;The Performance of Universal Adhesives on Orthodontic Bracket Bonding&quot;,&quot;author&quot;:[{&quot;family&quot;:&quot;Ugurlu&quot;,&quot;given&quot;:&quot;Muhittin&quot;,&quot;parse-names&quot;:false,&quot;dropping-particle&quot;:&quot;&quot;,&quot;non-dropping-particle&quot;:&quot;&quot;},{&quot;family&quot;:&quot;Buyukcavus&quot;,&quot;given&quot;:&quot;Muhammed Hilmi&quot;,&quot;parse-names&quot;:false,&quot;dropping-particle&quot;:&quot;&quot;,&quot;non-dropping-particle&quot;:&quot;&quot;}],&quot;container-title&quot;:&quot;European Journal of General Dentistry&quot;,&quot;container-title-short&quot;:&quot;European J Gen Dent&quot;,&quot;DOI&quot;:&quot;10.1055/s-0041-1732778&quot;,&quot;ISSN&quot;:&quot;2278-9626&quot;,&quot;issued&quot;:{&quot;date-parts&quot;:[[2021,1,11]]},&quot;page&quot;:&quot;019-024&quot;,&quot;abstract&quot;:&quot;&lt;p&gt;Objective This article aimed to assess the effects of double application of universal adhesives on the shear bond strength of orthodontic brackets.&lt;/p&gt;&quot;,&quot;issue&quot;:&quot;01&quot;,&quot;volume&quot;:&quot;10&quot;},&quot;isTemporary&quot;:false}]},{&quot;citationID&quot;:&quot;MENDELEY_CITATION_fc414b32-3b38-4844-940f-426e23e0f282&quot;,&quot;properties&quot;:{&quot;noteIndex&quot;:0},&quot;isEdited&quot;:false,&quot;manualOverride&quot;:{&quot;isManuallyOverridden&quot;:false,&quot;citeprocText&quot;:&quot;[2]&quot;,&quot;manualOverrideText&quot;:&quot;&quot;},&quot;citationTag&quot;:&quot;MENDELEY_CITATION_v3_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&quot;,&quot;citationItems&quot;:[{&quot;id&quot;:&quot;f84c0967-c5ef-30f7-8836-a871592f6dfd&quot;,&quot;itemData&quot;:{&quot;type&quot;:&quot;article-journal&quot;,&quot;id&quot;:&quot;f84c0967-c5ef-30f7-8836-a871592f6dfd&quot;,&quot;title&quot;:&quot;Effect of Ceramic Surface Treatment and Adhesive Systems on Bond Strength of Metallic Brackets&quot;,&quot;author&quot;:[{&quot;family&quot;:&quot;Juntavee&quot;,&quot;given&quot;:&quot;Patrapan&quot;,&quot;parse-names&quot;:false,&quot;dropping-particle&quot;:&quot;&quot;,&quot;non-dropping-particle&quot;:&quot;&quot;},{&quot;family&quot;:&quot;Kumchai&quot;,&quot;given&quot;:&quot;Hattanas&quot;,&quot;parse-names&quot;:false,&quot;dropping-particle&quot;:&quot;&quot;,&quot;non-dropping-particle&quot;:&quot;&quot;},{&quot;family&quot;:&quot;Juntavee&quot;,&quot;given&quot;:&quot;Niwut&quot;,&quot;parse-names&quot;:false,&quot;dropping-particle&quot;:&quot;&quot;,&quot;non-dropping-particle&quot;:&quot;&quot;},{&quot;family&quot;:&quot;Nathanson&quot;,&quot;given&quot;:&quot;Dan&quot;,&quot;parse-names&quot;:false,&quot;dropping-particle&quot;:&quot;&quot;,&quot;non-dropping-particle&quot;:&quot;&quot;}],&quot;container-title&quot;:&quot;International Journal of Dentistry&quot;,&quot;container-title-short&quot;:&quot;Int J Dent&quot;,&quot;DOI&quot;:&quot;10.1155/2020/7286528&quot;,&quot;ISSN&quot;:&quot;1687-8728&quot;,&quot;issued&quot;:{&quot;date-parts&quot;:[[2020,5,25]]},&quot;page&quot;:&quot;1-8&quot;,&quot;abstract&quot;:&quot;&lt;p&gt; &lt;italic&gt;Objective&lt;/italic&gt; . This study evaluated the effect of ceramic surface treatments on bond strength of metal brackets to machinable ceramics and veneering porcelain using different adhesive resins. &lt;italic&gt;Materials and methods&lt;/italic&gt; . Machined ceramic specimens (10 × 10 × 2 mm) were prepared from Vitablocs mark II (Vita) and IPS e.max® CAD (Ivoclar). Layered porcelain fused to metal (IPS d.Sign®, Ivoclar) was used to fabricate PFM specimens ( &lt;italic&gt;n&lt;/italic&gt;  = 60/group). Half of specimens were etched (9.6% HF, 15 sec), and the rest were nonetched. Three resin bonding systems were used for attaching metal brackets (Victory series™ APC II, 3M) to each group ( &lt;italic&gt;n&lt;/italic&gt;  = 10): Transbond™ XT (3M), Light Bond™ (Reliance), or Blugloo™ (Ormco), all cured with LED curing unit (Bluephase G1600, Vivadent) for 50 s each. Specimens were immersed in deionized water at 37°C for 24 hours prior to shear bond testing (Instron) at crosshead speed of 0.5 mm/min. Debond surface of ceramic and bracket base was examined for failure mode (FM), Ceramic Damage Index (CDI), and Adhesive Remnant Index (ARI). ANOVA and post hoc multiple comparisons were used to analyze the differences in bond strength. The chi-squared test was used to determine significance effect of FM, CDI, and ARI. &lt;italic&gt;Results&lt;/italic&gt; . Significant differences in shear bond strength among group were found ( &lt;math id=\&quot;M1\&quot;&gt; &lt;mi&gt;p&lt;/mi&gt; &lt;mo&gt;≤&lt;/mo&gt; &lt;mn&gt;0.05&lt;/mn&gt; &lt;/math&gt; ) related to ceramic, surface treatment, and resin cement. &lt;italic&gt;Conclusion&lt;/italic&gt; . Bond strength of bracket to ceramic is affected by type of ceramic, resin cement, and ceramic surface conditioning. Etching ceramic surface enhanced ceramic-bracket bond strength. However, bond strengths in nontreated ceramic surface groups were still higher than bond strength required for bonding in orthodontic treatment. &lt;/p&gt;&quot;,&quot;volume&quot;:&quot;2020&quot;},&quot;isTemporary&quot;:false}]},{&quot;citationID&quot;:&quot;MENDELEY_CITATION_9d0d69d4-5d12-4820-9e40-a2c8a11b0c67&quot;,&quot;properties&quot;:{&quot;noteIndex&quot;:0},&quot;isEdited&quot;:false,&quot;manualOverride&quot;:{&quot;isManuallyOverridden&quot;:false,&quot;citeprocText&quot;:&quot;[3]&quot;,&quot;manualOverrideText&quot;:&quot;&quot;},&quot;citationTag&quot;:&quot;MENDELEY_CITATION_v3_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&quot;,&quot;citationItems&quot;:[{&quot;id&quot;:&quot;536f95e7-b869-3d19-aa84-5011c386d183&quot;,&quot;itemData&quot;:{&quot;type&quot;:&quot;article-journal&quot;,&quot;id&quot;:&quot;536f95e7-b869-3d19-aa84-5011c386d183&quot;,&quot;title&quot;:&quot;Quantitative analysis of enamel on debonded orthodontic brackets&quot;,&quot;author&quot;:[{&quot;family&quot;:&quot;Cochrane&quot;,&quot;given&quot;:&quot;Nathan J.&quot;,&quot;parse-names&quot;:false,&quot;dropping-particle&quot;:&quot;&quot;,&quot;non-dropping-particle&quot;:&quot;&quot;},{&quot;family&quot;:&quot;Lo&quot;,&quot;given&quot;:&quot;Thomas W.G.&quot;,&quot;parse-names&quot;:false,&quot;dropping-particle&quot;:&quot;&quot;,&quot;non-dropping-particle&quot;:&quot;&quot;},{&quot;family&quot;:&quot;Adams&quot;,&quot;given&quot;:&quot;Geoffrey G.&quot;,&quot;parse-names&quot;:false,&quot;dropping-particle&quot;:&quot;&quot;,&quot;non-dropping-particle&quot;:&quot;&quot;},{&quot;family&quot;:&quot;Schneider&quot;,&quot;given&quot;:&quot;Paul M.&quot;,&quot;parse-names&quot;:false,&quot;dropping-particle&quot;:&quot;&quot;,&quot;non-dropping-particle&quot;:&quot;&quot;}],&quot;container-title&quot;:&quot;American Journal of Orthodontics and Dentofacial Orthopedics&quot;,&quot;DOI&quot;:&quot;10.1016/j.ajodo.2017.01.020&quot;,&quot;ISSN&quot;:&quot;08895406&quot;,&quot;issued&quot;:{&quot;date-parts&quot;:[[2017,9]]},&quot;page&quot;:&quot;312-319&quot;,&quot;issue&quot;:&quot;3&quot;,&quot;volume&quot;:&quot;152&quot;,&quot;container-title-short&quot;:&quot;&quot;},&quot;isTemporary&quot;:false}]},{&quot;citationID&quot;:&quot;MENDELEY_CITATION_a8ef2eaa-c119-4bb0-8ad5-0ce100e3e887&quot;,&quot;properties&quot;:{&quot;noteIndex&quot;:0},&quot;isEdited&quot;:false,&quot;manualOverride&quot;:{&quot;isManuallyOverridden&quot;:false,&quot;citeprocText&quot;:&quot;[4]&quot;,&quot;manualOverrideText&quot;:&quot;&quot;},&quot;citationTag&quot;:&quot;MENDELEY_CITATION_v3_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&quot;,&quot;citationItems&quot;:[{&quot;id&quot;:&quot;e3f99e53-fc8d-3127-aabf-7ac290bddaaa&quot;,&quot;itemData&quot;:{&quot;type&quot;:&quot;article-journal&quot;,&quot;id&quot;:&quot;e3f99e53-fc8d-3127-aabf-7ac290bddaaa&quot;,&quot;title&quot;:&quot;Comparison between adhesive remnant index of shear bond strength and tensile bond strength: An in vitro experimental study&quot;,&quot;author&quot;:[{&quot;family&quot;:&quot;Abbas&quot;,&quot;given&quot;:&quot;Ali Sabah&quot;,&quot;parse-names&quot;:false,&quot;dropping-particle&quot;:&quot;&quot;,&quot;non-dropping-particle&quot;:&quot;&quot;},{&quot;family&quot;:&quot;Jarjees&quot;,&quot;given&quot;:&quot;Hind Taher&quot;,&quot;parse-names&quot;:false,&quot;dropping-particle&quot;:&quot;&quot;,&quot;non-dropping-particle&quot;:&quot;&quot;}],&quot;container-title&quot;:&quot;International Journal of Applied Dental Sciences&quot;,&quot;DOI&quot;:&quot;10.22271/oral.2023.v9.i3e.1827&quot;,&quot;ISSN&quot;:&quot;23947489&quot;,&quot;issued&quot;:{&quot;date-parts&quot;:[[2023,1,1]]},&quot;page&quot;:&quot;340-345&quot;,&quot;issue&quot;:&quot;3&quot;,&quot;volume&quot;:&quot;9&quot;,&quot;container-title-short&quot;:&quot;&quot;},&quot;isTemporary&quot;:false}]},{&quot;citationID&quot;:&quot;MENDELEY_CITATION_30d7301d-d6db-4d0d-95af-1a9386311c6a&quot;,&quot;properties&quot;:{&quot;noteIndex&quot;:0},&quot;isEdited&quot;:false,&quot;manualOverride&quot;:{&quot;isManuallyOverridden&quot;:false,&quot;citeprocText&quot;:&quot;[5]&quot;,&quot;manualOverrideText&quot;:&quot;&quot;},&quot;citationTag&quot;:&quot;MENDELEY_CITATION_v3_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&quot;,&quot;citationItems&quot;:[{&quot;id&quot;:&quot;a0558f90-70e1-39ef-a0e5-aee6ae88e759&quot;,&quot;itemData&quot;:{&quot;type&quot;:&quot;article-journal&quot;,&quot;id&quot;:&quot;a0558f90-70e1-39ef-a0e5-aee6ae88e759&quot;,&quot;title&quot;:&quot;In vitro analysis of shear bond strength and adhesive remnant index of different metal brackets&quot;,&quot;author&quot;:[{&quot;family&quot;:&quot;Henkin&quot;,&quot;given&quot;:&quot;Fernanda de Souza&quot;,&quot;parse-names&quot;:false,&quot;dropping-particle&quot;:&quot;&quot;,&quot;non-dropping-particle&quot;:&quot;&quot;},{&quot;family&quot;:&quot;Macêdo&quot;,&quot;given&quot;:&quot;Érika de Oliveira Dias&quot;,&quot;parse-names&quot;:false,&quot;dropping-particle&quot;:&quot;de&quot;,&quot;non-dropping-particle&quot;:&quot;&quot;},{&quot;family&quot;:&quot;Santos&quot;,&quot;given&quot;:&quot;Karoline da Silva&quot;,&quot;parse-names&quot;:false,&quot;dropping-particle&quot;:&quot;&quot;,&quot;non-dropping-particle&quot;:&quot;&quot;},{&quot;family&quot;:&quot;Schwarzbach&quot;,&quot;given&quot;:&quot;Marília&quot;,&quot;parse-names&quot;:false,&quot;dropping-particle&quot;:&quot;&quot;,&quot;non-dropping-particle&quot;:&quot;&quot;},{&quot;family&quot;:&quot;Samuel&quot;,&quot;given&quot;:&quot;Susana Maria Werner&quot;,&quot;parse-names&quot;:false,&quot;dropping-particle&quot;:&quot;&quot;,&quot;non-dropping-particle&quot;:&quot;&quot;},{&quot;family&quot;:&quot;Mundstock&quot;,&quot;given&quot;:&quot;Karina Santos&quot;,&quot;parse-names&quot;:false,&quot;dropping-particle&quot;:&quot;&quot;,&quot;non-dropping-particle&quot;:&quot;&quot;}],&quot;container-title&quot;:&quot;Dental Press Journal of Orthodontics&quot;,&quot;container-title-short&quot;:&quot;Dental Press J Orthod&quot;,&quot;DOI&quot;:&quot;10.1590/2177-6709.21.6.067-073.oar&quot;,&quot;ISSN&quot;:&quot;2176-9451&quot;,&quot;issued&quot;:{&quot;date-parts&quot;:[[2016,12]]},&quot;page&quot;:&quot;67-73&quot;,&quot;abstract&quot;:&quot;&lt;p&gt;ABSTRACT Introduction: There is a great variety of orthodontic brackets in the Brazilian market, and constantly evaluating them is critical for professionals to know their properties, so as to be able to choose which product best suits their clinical practice. Objectives: To evaluate the bond strength and the adhesive remnant index (ARI) of different brands of metal brackets. Material and Methods: A total of 105 bovine incisors were used, and brackets of different brands were bonded to teeth. Seven different bracket brands were tested (MorelliTM, American OrthodonticsTM, TP OrthodonticsTM, Abzil-3MTM, OrthometricTM, TecnidentTM and UNIDENTM). Twenty-four hours after bonding, shear bond strength test was performed; and after debonding, the ARI was determined by using an optical microscope at a 10-fold increase. Results: Mean shear bond strength values ranged from 3.845 ± 3.997 (MorelliTM) to 9.871 ± 5.106 MPa (TecnidentTM). The majority of the ARI index scores was 0 and 1. Conclusion: Among the evaluated brackets, the one with the lowest mean shear bond strength values was MorelliTM. General evaluation of groups indicated that a greater number of bond failure occurred at the enamel/adhesive interface.&lt;/p&gt;&quot;,&quot;issue&quot;:&quot;6&quot;,&quot;volume&quot;:&quot;21&quot;},&quot;isTemporary&quot;:false}]}]"/>
    <we:property name="MENDELEY_CITATIONS_STYLE" value="{&quot;id&quot;:&quot;https://www.zotero.org/styles/vancouver-brackets&quot;,&quot;title&quot;:&quot;Vancouver (bracket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97B6B-A095-48F8-B57B-A3656A073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801</Words>
  <Characters>5050</Characters>
  <Application>Microsoft Office Word</Application>
  <DocSecurity>0</DocSecurity>
  <Lines>42</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Rytis Vaitiekūnas</dc:creator>
  <cp:keywords/>
  <dc:description/>
  <cp:lastModifiedBy>Rytis Vaitiekūnas</cp:lastModifiedBy>
  <cp:revision>3</cp:revision>
  <dcterms:created xsi:type="dcterms:W3CDTF">2024-09-24T11:31:00Z</dcterms:created>
  <dcterms:modified xsi:type="dcterms:W3CDTF">2024-09-24T15:06:00Z</dcterms:modified>
</cp:coreProperties>
</file>