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7FDB56" w14:textId="77777777" w:rsidR="001D00FD" w:rsidRDefault="001D00FD" w:rsidP="001D00FD">
      <w:pPr>
        <w:jc w:val="center"/>
        <w:rPr>
          <w:b/>
          <w:bCs/>
          <w:sz w:val="28"/>
          <w:szCs w:val="28"/>
        </w:rPr>
      </w:pPr>
    </w:p>
    <w:p w14:paraId="016EE425" w14:textId="26D4D25E" w:rsidR="005633E2" w:rsidRDefault="00826A05" w:rsidP="001D00FD">
      <w:pPr>
        <w:jc w:val="center"/>
        <w:rPr>
          <w:b/>
          <w:bCs/>
          <w:sz w:val="28"/>
          <w:szCs w:val="28"/>
        </w:rPr>
      </w:pPr>
      <w:r>
        <w:rPr>
          <w:b/>
          <w:bCs/>
          <w:sz w:val="28"/>
          <w:szCs w:val="28"/>
        </w:rPr>
        <w:t>MINI IMPLANTS</w:t>
      </w:r>
      <w:r w:rsidR="00B61C45">
        <w:rPr>
          <w:b/>
          <w:bCs/>
          <w:sz w:val="28"/>
          <w:szCs w:val="28"/>
        </w:rPr>
        <w:t xml:space="preserve"> TO REDUCE TMJ COMPLICATIONS</w:t>
      </w:r>
    </w:p>
    <w:p w14:paraId="3D81719E" w14:textId="596496E7" w:rsidR="00B61C45" w:rsidRPr="00B61C45" w:rsidRDefault="00B61C45" w:rsidP="001D00FD">
      <w:pPr>
        <w:jc w:val="center"/>
        <w:rPr>
          <w:i/>
          <w:iCs/>
          <w:sz w:val="28"/>
          <w:szCs w:val="28"/>
        </w:rPr>
      </w:pPr>
      <w:r w:rsidRPr="00B61C45">
        <w:rPr>
          <w:i/>
          <w:iCs/>
          <w:sz w:val="28"/>
          <w:szCs w:val="28"/>
        </w:rPr>
        <w:t>Upgrade your practice to Orthodontist-TADs specialist</w:t>
      </w:r>
    </w:p>
    <w:p w14:paraId="163300A3" w14:textId="68F58178" w:rsidR="005633E2" w:rsidRDefault="005633E2" w:rsidP="005633E2"/>
    <w:p w14:paraId="3DAC329A" w14:textId="0D91228F" w:rsidR="005633E2" w:rsidRPr="005633E2" w:rsidRDefault="005633E2" w:rsidP="005633E2">
      <w:pPr>
        <w:rPr>
          <w:b/>
          <w:bCs/>
        </w:rPr>
      </w:pPr>
      <w:r w:rsidRPr="005633E2">
        <w:rPr>
          <w:b/>
          <w:bCs/>
        </w:rPr>
        <w:t>Presentation field</w:t>
      </w:r>
      <w:r w:rsidR="0007038D">
        <w:rPr>
          <w:b/>
          <w:bCs/>
        </w:rPr>
        <w:t xml:space="preserve">                                                                                                                         </w:t>
      </w:r>
    </w:p>
    <w:p w14:paraId="121E0492" w14:textId="7CAF0088" w:rsidR="005633E2" w:rsidRPr="005633E2" w:rsidRDefault="005633E2" w:rsidP="005633E2">
      <w:pPr>
        <w:rPr>
          <w:i/>
          <w:iCs/>
        </w:rPr>
      </w:pPr>
      <w:r w:rsidRPr="005633E2">
        <w:rPr>
          <w:i/>
          <w:iCs/>
        </w:rPr>
        <w:t>Mini</w:t>
      </w:r>
      <w:r w:rsidR="00AE5935">
        <w:rPr>
          <w:i/>
          <w:iCs/>
        </w:rPr>
        <w:t>-</w:t>
      </w:r>
      <w:r w:rsidRPr="005633E2">
        <w:rPr>
          <w:i/>
          <w:iCs/>
        </w:rPr>
        <w:t>screws and Skeletal Anchorage in Orthodontics</w:t>
      </w:r>
    </w:p>
    <w:p w14:paraId="24A1FCE7" w14:textId="13E77E20" w:rsidR="005633E2" w:rsidRPr="005633E2" w:rsidRDefault="00C764A0" w:rsidP="005633E2">
      <w:pPr>
        <w:rPr>
          <w:b/>
          <w:bCs/>
        </w:rPr>
      </w:pPr>
      <w:r>
        <w:rPr>
          <w:b/>
          <w:bCs/>
          <w:noProof/>
        </w:rPr>
        <w:drawing>
          <wp:anchor distT="0" distB="0" distL="114300" distR="114300" simplePos="0" relativeHeight="251658240" behindDoc="1" locked="0" layoutInCell="1" allowOverlap="1" wp14:anchorId="5F035564" wp14:editId="78B2F2E2">
            <wp:simplePos x="0" y="0"/>
            <wp:positionH relativeFrom="column">
              <wp:posOffset>4692650</wp:posOffset>
            </wp:positionH>
            <wp:positionV relativeFrom="paragraph">
              <wp:posOffset>82550</wp:posOffset>
            </wp:positionV>
            <wp:extent cx="1195070" cy="1493520"/>
            <wp:effectExtent l="152400" t="152400" r="367030" b="354330"/>
            <wp:wrapTight wrapText="bothSides">
              <wp:wrapPolygon edited="0">
                <wp:start x="1377" y="-2204"/>
                <wp:lineTo x="-2755" y="-1653"/>
                <wp:lineTo x="-2755" y="22592"/>
                <wp:lineTo x="-689" y="24796"/>
                <wp:lineTo x="3099" y="25898"/>
                <wp:lineTo x="3443" y="26449"/>
                <wp:lineTo x="21692" y="26449"/>
                <wp:lineTo x="22036" y="25898"/>
                <wp:lineTo x="25824" y="24796"/>
                <wp:lineTo x="27889" y="20663"/>
                <wp:lineTo x="27889" y="2755"/>
                <wp:lineTo x="23758" y="-1378"/>
                <wp:lineTo x="23413" y="-2204"/>
                <wp:lineTo x="1377" y="-2204"/>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95070" cy="149352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5633E2" w:rsidRPr="005633E2">
        <w:rPr>
          <w:b/>
          <w:bCs/>
        </w:rPr>
        <w:t>Abstract Summary</w:t>
      </w:r>
    </w:p>
    <w:p w14:paraId="27AB0C96" w14:textId="349521B9" w:rsidR="006F49A6" w:rsidRDefault="007F5A73" w:rsidP="00C764A0">
      <w:pPr>
        <w:jc w:val="lowKashida"/>
      </w:pPr>
      <w:r>
        <w:t>Knowing the harmful effects of the intra-oral elastics and similar accessories on TMJ, it’s becoming more necessary to use TADs</w:t>
      </w:r>
      <w:r w:rsidR="00C764A0">
        <w:t xml:space="preserve"> </w:t>
      </w:r>
      <w:r w:rsidR="00C764A0">
        <w:t>wider</w:t>
      </w:r>
      <w:r>
        <w:t xml:space="preserve"> in orthodontic treatment</w:t>
      </w:r>
      <w:r w:rsidR="00C764A0">
        <w:t xml:space="preserve"> which is becoming more accessible with the digital facilities. </w:t>
      </w:r>
      <w:r>
        <w:br/>
        <w:t xml:space="preserve">The presentation content: </w:t>
      </w:r>
      <w:r w:rsidR="005633E2">
        <w:t xml:space="preserve">Temporary anchorage device (TADs) or </w:t>
      </w:r>
      <w:r w:rsidR="00AB54FE">
        <w:t>mini-implants</w:t>
      </w:r>
      <w:r w:rsidR="005633E2">
        <w:t xml:space="preserve"> definition, different </w:t>
      </w:r>
      <w:r w:rsidR="00C764A0">
        <w:t>types of</w:t>
      </w:r>
      <w:r w:rsidR="005633E2">
        <w:t xml:space="preserve"> comparison. Application and field of use of TADs in orthodontic</w:t>
      </w:r>
      <w:r w:rsidR="00AB54FE">
        <w:t>:</w:t>
      </w:r>
      <w:r w:rsidR="00AE5935">
        <w:t xml:space="preserve"> 1. Use the palatal TADs for impacted teeth/ectopic erupted teeth. </w:t>
      </w:r>
      <w:r w:rsidR="005633E2">
        <w:t xml:space="preserve">2. Extraction space closure. </w:t>
      </w:r>
      <w:r w:rsidR="00AB54FE">
        <w:t>3</w:t>
      </w:r>
      <w:r w:rsidR="005633E2">
        <w:t>. Canted occlusal planes and dental midline correction.</w:t>
      </w:r>
      <w:r w:rsidR="00AB54FE">
        <w:t xml:space="preserve"> 4</w:t>
      </w:r>
      <w:r w:rsidR="005633E2">
        <w:t>.</w:t>
      </w:r>
      <w:r w:rsidR="00C764A0">
        <w:t xml:space="preserve"> </w:t>
      </w:r>
      <w:r w:rsidR="005633E2">
        <w:t xml:space="preserve">Uprighting and extrusion of impacted molars. </w:t>
      </w:r>
      <w:r w:rsidR="00AB54FE">
        <w:t>5</w:t>
      </w:r>
      <w:r w:rsidR="005633E2">
        <w:t>.</w:t>
      </w:r>
      <w:r w:rsidR="00C764A0">
        <w:t xml:space="preserve"> </w:t>
      </w:r>
      <w:r w:rsidR="005633E2">
        <w:t xml:space="preserve">Intrusion of molars. </w:t>
      </w:r>
      <w:r w:rsidR="00AB54FE">
        <w:t>6</w:t>
      </w:r>
      <w:r w:rsidR="005633E2">
        <w:t>. Maxillary molar distalization and distalization</w:t>
      </w:r>
      <w:r w:rsidR="00C764A0">
        <w:t xml:space="preserve"> </w:t>
      </w:r>
      <w:r w:rsidR="005633E2">
        <w:t xml:space="preserve">of mandibular teeth. </w:t>
      </w:r>
      <w:r w:rsidR="00AB54FE">
        <w:t>7</w:t>
      </w:r>
      <w:r w:rsidR="005633E2">
        <w:t xml:space="preserve">. Molar mesialization. </w:t>
      </w:r>
      <w:r w:rsidR="00AB54FE">
        <w:t>8</w:t>
      </w:r>
      <w:r w:rsidR="005633E2">
        <w:t xml:space="preserve">. Skeletal expansion and corticopuncher. </w:t>
      </w:r>
      <w:r w:rsidR="00AB54FE">
        <w:t>9</w:t>
      </w:r>
      <w:r w:rsidR="005633E2">
        <w:t>. Correction of vertical skeletal discrepancies.</w:t>
      </w:r>
      <w:r w:rsidR="00AE5935">
        <w:t xml:space="preserve"> 10. Correction of deep bite. </w:t>
      </w:r>
      <w:r w:rsidR="005633E2">
        <w:t xml:space="preserve"> Videos about practical part of TADs insertion: Interradicular, IZC, Lingually insertion with angulated handpiece, corticopuncher and MSE application. Risk and complication. Keys of success.</w:t>
      </w:r>
    </w:p>
    <w:p w14:paraId="478AE410" w14:textId="3FCF3233" w:rsidR="001D00FD" w:rsidRDefault="001D00FD" w:rsidP="005633E2"/>
    <w:p w14:paraId="58A84CD0" w14:textId="77777777" w:rsidR="001D00FD" w:rsidRDefault="001D00FD" w:rsidP="005633E2">
      <w:pPr>
        <w:rPr>
          <w:b/>
          <w:bCs/>
        </w:rPr>
      </w:pPr>
      <w:r w:rsidRPr="001D00FD">
        <w:rPr>
          <w:b/>
          <w:bCs/>
        </w:rPr>
        <w:t>References</w:t>
      </w:r>
      <w:r>
        <w:rPr>
          <w:b/>
          <w:bCs/>
        </w:rPr>
        <w:t xml:space="preserve">: </w:t>
      </w:r>
    </w:p>
    <w:p w14:paraId="3CF078F5" w14:textId="77777777" w:rsidR="001D00FD" w:rsidRPr="001D00FD" w:rsidRDefault="001D00FD" w:rsidP="001D00FD">
      <w:pPr>
        <w:numPr>
          <w:ilvl w:val="0"/>
          <w:numId w:val="3"/>
        </w:numPr>
        <w:rPr>
          <w:rFonts w:cstheme="minorHAnsi"/>
        </w:rPr>
      </w:pPr>
      <w:r w:rsidRPr="001D00FD">
        <w:rPr>
          <w:rFonts w:cstheme="minorHAnsi"/>
        </w:rPr>
        <w:t xml:space="preserve">Mechanical strength of stainless steel and titanium alloy mini-implants with different diameters: an experimental laboratory study </w:t>
      </w:r>
      <w:r w:rsidRPr="001D00FD">
        <w:rPr>
          <w:rFonts w:cstheme="minorHAnsi"/>
        </w:rPr>
        <w:br/>
      </w:r>
      <w:hyperlink r:id="rId7" w:history="1">
        <w:r w:rsidRPr="001D00FD">
          <w:rPr>
            <w:rStyle w:val="Hyperlink"/>
            <w:rFonts w:cstheme="minorHAnsi"/>
          </w:rPr>
          <w:t>https://progressinorthodontics.springeropen.com/articles/10.1186/s40510-021-00352-w</w:t>
        </w:r>
      </w:hyperlink>
    </w:p>
    <w:p w14:paraId="705D2A90" w14:textId="77777777" w:rsidR="001D00FD" w:rsidRPr="001D00FD" w:rsidRDefault="001D00FD" w:rsidP="001D00FD">
      <w:pPr>
        <w:numPr>
          <w:ilvl w:val="0"/>
          <w:numId w:val="3"/>
        </w:numPr>
        <w:rPr>
          <w:rFonts w:cstheme="minorHAnsi"/>
        </w:rPr>
      </w:pPr>
      <w:r w:rsidRPr="001D00FD">
        <w:rPr>
          <w:rFonts w:cstheme="minorHAnsi"/>
        </w:rPr>
        <w:t>Temporary anchorage devices in orthodontics: A review</w:t>
      </w:r>
      <w:r w:rsidRPr="001D00FD">
        <w:rPr>
          <w:rFonts w:cstheme="minorHAnsi"/>
        </w:rPr>
        <w:br/>
        <w:t>IP Indian Journal of Orthodontics and Dentofacial Research 2020;6(4):222–228</w:t>
      </w:r>
    </w:p>
    <w:p w14:paraId="4136D52B" w14:textId="77777777" w:rsidR="001D00FD" w:rsidRPr="001D00FD" w:rsidRDefault="001D00FD" w:rsidP="001D00FD">
      <w:pPr>
        <w:numPr>
          <w:ilvl w:val="0"/>
          <w:numId w:val="3"/>
        </w:numPr>
        <w:rPr>
          <w:rFonts w:cstheme="minorHAnsi"/>
        </w:rPr>
      </w:pPr>
      <w:r w:rsidRPr="001D00FD">
        <w:rPr>
          <w:rFonts w:cstheme="minorHAnsi"/>
        </w:rPr>
        <w:t xml:space="preserve">Extra-Alveolar Bone Screws for Conservative Correction of Severe Malocclusion Without Extractions or Orthognathic Surgery   August 2018 </w:t>
      </w:r>
      <w:hyperlink r:id="rId8" w:history="1">
        <w:r w:rsidRPr="001D00FD">
          <w:rPr>
            <w:rStyle w:val="Hyperlink"/>
            <w:rFonts w:cstheme="minorHAnsi"/>
          </w:rPr>
          <w:t>www.researchgate.net</w:t>
        </w:r>
      </w:hyperlink>
      <w:r w:rsidRPr="001D00FD">
        <w:rPr>
          <w:rFonts w:cstheme="minorHAnsi"/>
        </w:rPr>
        <w:t xml:space="preserve"> DOI:10.1007/s11914-018-0465-5</w:t>
      </w:r>
    </w:p>
    <w:p w14:paraId="6F9C9A06" w14:textId="77777777" w:rsidR="001D00FD" w:rsidRPr="001D00FD" w:rsidRDefault="001D00FD" w:rsidP="001D00FD">
      <w:pPr>
        <w:numPr>
          <w:ilvl w:val="0"/>
          <w:numId w:val="3"/>
        </w:numPr>
        <w:rPr>
          <w:rFonts w:cstheme="minorHAnsi"/>
        </w:rPr>
      </w:pPr>
      <w:r w:rsidRPr="001D00FD">
        <w:rPr>
          <w:rFonts w:cstheme="minorHAnsi"/>
        </w:rPr>
        <w:t xml:space="preserve"> Comparison of the Failure Rate for InfraZygomatic Bone Screws Placed in Movable Mucosa or Attached Gingiva</w:t>
      </w:r>
      <w:r w:rsidRPr="001D00FD">
        <w:rPr>
          <w:rFonts w:cstheme="minorHAnsi"/>
        </w:rPr>
        <w:br/>
      </w:r>
      <w:hyperlink r:id="rId9" w:history="1">
        <w:r w:rsidRPr="001D00FD">
          <w:rPr>
            <w:rStyle w:val="Hyperlink"/>
            <w:rFonts w:cstheme="minorHAnsi"/>
          </w:rPr>
          <w:t>http://iaoi.pro/asset/files/ijoi_47_pdf_article/096_106.pdf</w:t>
        </w:r>
      </w:hyperlink>
    </w:p>
    <w:p w14:paraId="65CDDC5A" w14:textId="69A5E6FA" w:rsidR="001D00FD" w:rsidRPr="001D00FD" w:rsidRDefault="001D00FD" w:rsidP="001D00FD">
      <w:pPr>
        <w:numPr>
          <w:ilvl w:val="0"/>
          <w:numId w:val="3"/>
        </w:numPr>
        <w:rPr>
          <w:rFonts w:cstheme="minorHAnsi"/>
        </w:rPr>
      </w:pPr>
      <w:r w:rsidRPr="001D00FD">
        <w:rPr>
          <w:rFonts w:cstheme="minorHAnsi"/>
        </w:rPr>
        <w:t>Risks and complications of mini</w:t>
      </w:r>
      <w:r w:rsidR="00AE5935">
        <w:rPr>
          <w:rFonts w:cstheme="minorHAnsi"/>
        </w:rPr>
        <w:t>-</w:t>
      </w:r>
      <w:r w:rsidRPr="001D00FD">
        <w:rPr>
          <w:rFonts w:cstheme="minorHAnsi"/>
        </w:rPr>
        <w:t xml:space="preserve">screw anchorage in clinical orthodontics </w:t>
      </w:r>
      <w:r w:rsidRPr="001D00FD">
        <w:rPr>
          <w:rFonts w:cstheme="minorHAnsi"/>
        </w:rPr>
        <w:br/>
      </w:r>
      <w:hyperlink r:id="rId10" w:history="1">
        <w:r w:rsidRPr="001D00FD">
          <w:rPr>
            <w:rStyle w:val="Hyperlink"/>
            <w:rFonts w:cstheme="minorHAnsi"/>
          </w:rPr>
          <w:t>https://doi.org/10.1016/j.jdsr.2014.05.001</w:t>
        </w:r>
      </w:hyperlink>
    </w:p>
    <w:p w14:paraId="258B526C" w14:textId="77777777" w:rsidR="001D00FD" w:rsidRPr="001D00FD" w:rsidRDefault="001D00FD" w:rsidP="001D00FD">
      <w:pPr>
        <w:numPr>
          <w:ilvl w:val="0"/>
          <w:numId w:val="3"/>
        </w:numPr>
        <w:rPr>
          <w:rFonts w:cstheme="minorHAnsi"/>
        </w:rPr>
      </w:pPr>
      <w:r w:rsidRPr="001D00FD">
        <w:rPr>
          <w:rFonts w:cstheme="minorHAnsi"/>
        </w:rPr>
        <w:lastRenderedPageBreak/>
        <w:t>Effects of orthodontic force on root surface damage caused by contact with temporary anchorage devices and on the repair process Korean Journal of Orthodontics, 19 Mar 2019, 49(2):106-115</w:t>
      </w:r>
      <w:r w:rsidRPr="001D00FD">
        <w:rPr>
          <w:rFonts w:cstheme="minorHAnsi"/>
        </w:rPr>
        <w:br/>
        <w:t>DOI: </w:t>
      </w:r>
      <w:hyperlink r:id="rId11" w:history="1">
        <w:r w:rsidRPr="001D00FD">
          <w:rPr>
            <w:rStyle w:val="Hyperlink"/>
            <w:rFonts w:cstheme="minorHAnsi"/>
          </w:rPr>
          <w:t>10.4041/kjod.2019.49.2.106</w:t>
        </w:r>
      </w:hyperlink>
      <w:r w:rsidRPr="001D00FD">
        <w:rPr>
          <w:rFonts w:cstheme="minorHAnsi"/>
        </w:rPr>
        <w:t> PMID: 30941297 PMCID: PMC6433606</w:t>
      </w:r>
    </w:p>
    <w:p w14:paraId="6CE5B806" w14:textId="6026D585" w:rsidR="001D00FD" w:rsidRPr="001D00FD" w:rsidRDefault="001D00FD" w:rsidP="001D00FD">
      <w:pPr>
        <w:numPr>
          <w:ilvl w:val="0"/>
          <w:numId w:val="3"/>
        </w:numPr>
        <w:rPr>
          <w:rFonts w:cstheme="minorHAnsi"/>
        </w:rPr>
      </w:pPr>
      <w:r w:rsidRPr="001D00FD">
        <w:rPr>
          <w:rFonts w:cstheme="minorHAnsi"/>
        </w:rPr>
        <w:t>OVERVIEW Anatomical Guidelines for Mini</w:t>
      </w:r>
      <w:r w:rsidR="00AE5935">
        <w:rPr>
          <w:rFonts w:cstheme="minorHAnsi"/>
        </w:rPr>
        <w:t>-</w:t>
      </w:r>
      <w:r w:rsidRPr="001D00FD">
        <w:rPr>
          <w:rFonts w:cstheme="minorHAnsi"/>
        </w:rPr>
        <w:t>screw Insertion: Palatal Sites</w:t>
      </w:r>
      <w:r w:rsidRPr="001D00FD">
        <w:rPr>
          <w:rFonts w:cstheme="minorHAnsi"/>
        </w:rPr>
        <w:br/>
      </w:r>
      <w:hyperlink r:id="rId12" w:history="1">
        <w:r w:rsidRPr="001D00FD">
          <w:rPr>
            <w:rStyle w:val="Hyperlink"/>
            <w:rFonts w:cstheme="minorHAnsi"/>
          </w:rPr>
          <w:t>https://www.jco-online.com/archive/2011/08/433-overview-anatomical-guidelines-for-miniscrew-insertion-palatal-sites/</w:t>
        </w:r>
      </w:hyperlink>
    </w:p>
    <w:p w14:paraId="43D1A043" w14:textId="4CDA3166" w:rsidR="001D00FD" w:rsidRPr="001D00FD" w:rsidRDefault="001D00FD" w:rsidP="001D00FD">
      <w:pPr>
        <w:numPr>
          <w:ilvl w:val="0"/>
          <w:numId w:val="3"/>
        </w:numPr>
        <w:rPr>
          <w:rFonts w:cstheme="minorHAnsi"/>
        </w:rPr>
      </w:pPr>
      <w:r w:rsidRPr="001D00FD">
        <w:rPr>
          <w:rFonts w:cstheme="minorHAnsi"/>
        </w:rPr>
        <w:t>Alveolar bone preservation subsequent to mini</w:t>
      </w:r>
      <w:r w:rsidR="00AE5935">
        <w:rPr>
          <w:rFonts w:cstheme="minorHAnsi"/>
        </w:rPr>
        <w:t>-</w:t>
      </w:r>
      <w:r w:rsidRPr="001D00FD">
        <w:rPr>
          <w:rFonts w:cstheme="minorHAnsi"/>
        </w:rPr>
        <w:t>screw implant placement in a canine model November 2014 Orthodontics and Craniofacial Research 18(2) DOI:10.1111/ocr.12058</w:t>
      </w:r>
    </w:p>
    <w:p w14:paraId="0AC5B09D" w14:textId="53AAC083" w:rsidR="001D00FD" w:rsidRPr="001D00FD" w:rsidRDefault="001D00FD" w:rsidP="005633E2">
      <w:pPr>
        <w:rPr>
          <w:b/>
          <w:bCs/>
        </w:rPr>
      </w:pPr>
      <w:r w:rsidRPr="001D00FD">
        <w:rPr>
          <w:b/>
          <w:bCs/>
        </w:rPr>
        <w:t xml:space="preserve"> </w:t>
      </w:r>
    </w:p>
    <w:p w14:paraId="5CC78DD7" w14:textId="3128C4DF" w:rsidR="005633E2" w:rsidRDefault="005633E2" w:rsidP="00707F19">
      <w:pPr>
        <w:jc w:val="both"/>
        <w:rPr>
          <w:rFonts w:ascii="Calibri" w:hAnsi="Calibri" w:cs="Calibri"/>
          <w:b/>
        </w:rPr>
      </w:pPr>
      <w:r>
        <w:rPr>
          <w:rFonts w:ascii="Calibri" w:hAnsi="Calibri" w:cs="Calibri"/>
          <w:b/>
        </w:rPr>
        <w:t>Biography</w:t>
      </w:r>
    </w:p>
    <w:p w14:paraId="3D1CB5C5" w14:textId="46941845" w:rsidR="00D61155" w:rsidRPr="006F5A28" w:rsidRDefault="00227E1A" w:rsidP="00D61155">
      <w:pPr>
        <w:numPr>
          <w:ilvl w:val="0"/>
          <w:numId w:val="1"/>
        </w:numPr>
        <w:spacing w:after="0" w:line="240" w:lineRule="auto"/>
        <w:jc w:val="lowKashida"/>
        <w:rPr>
          <w:rFonts w:ascii="Tw Cen MT" w:hAnsi="Tw Cen MT"/>
          <w:color w:val="000000"/>
          <w:sz w:val="28"/>
          <w:szCs w:val="28"/>
          <w:shd w:val="clear" w:color="auto" w:fill="FFFFFF"/>
        </w:rPr>
      </w:pPr>
      <w:bookmarkStart w:id="0" w:name="_Hlk101737627"/>
      <w:bookmarkStart w:id="1" w:name="_Hlk101736558"/>
      <w:r w:rsidRPr="001501E2">
        <w:rPr>
          <w:rFonts w:eastAsia="MS PGothic" w:cstheme="minorHAnsi"/>
          <w:color w:val="000000"/>
          <w:sz w:val="24"/>
          <w:szCs w:val="24"/>
        </w:rPr>
        <w:t xml:space="preserve">Dr. Aiman Obeid has completed his specialization in orthodontic in 2012 in Belarussian Medical State University, Belarus. After that he started his work as an orthodontist in UAE, he published his scientific work (about self-ligating braces) in one of reputed medical journals, translated </w:t>
      </w:r>
      <w:r w:rsidR="00707F19" w:rsidRPr="001501E2">
        <w:rPr>
          <w:rFonts w:eastAsia="MS PGothic" w:cstheme="minorHAnsi"/>
          <w:color w:val="000000"/>
          <w:sz w:val="24"/>
          <w:szCs w:val="24"/>
        </w:rPr>
        <w:t>research</w:t>
      </w:r>
      <w:r w:rsidRPr="001501E2">
        <w:rPr>
          <w:rFonts w:eastAsia="MS PGothic" w:cstheme="minorHAnsi"/>
          <w:color w:val="000000"/>
          <w:sz w:val="24"/>
          <w:szCs w:val="24"/>
        </w:rPr>
        <w:t xml:space="preserve"> of 140 pages in lingual braces. </w:t>
      </w:r>
      <w:r w:rsidRPr="001501E2">
        <w:rPr>
          <w:rFonts w:cstheme="minorHAnsi"/>
          <w:color w:val="000000"/>
          <w:sz w:val="24"/>
          <w:szCs w:val="24"/>
        </w:rPr>
        <w:t xml:space="preserve">Participated as a speaker in </w:t>
      </w:r>
      <w:hyperlink r:id="rId13" w:history="1">
        <w:r w:rsidRPr="001501E2">
          <w:rPr>
            <w:rStyle w:val="Hyperlink"/>
            <w:rFonts w:cstheme="minorHAnsi"/>
            <w:sz w:val="24"/>
            <w:szCs w:val="24"/>
            <w:shd w:val="clear" w:color="auto" w:fill="FFFFFF"/>
          </w:rPr>
          <w:t>“</w:t>
        </w:r>
        <w:r w:rsidRPr="001501E2">
          <w:rPr>
            <w:rStyle w:val="Hyperlink"/>
            <w:rFonts w:cstheme="minorHAnsi"/>
            <w:sz w:val="24"/>
            <w:szCs w:val="24"/>
          </w:rPr>
          <w:t>2</w:t>
        </w:r>
        <w:r w:rsidRPr="001501E2">
          <w:rPr>
            <w:rStyle w:val="Hyperlink"/>
            <w:rFonts w:cstheme="minorHAnsi"/>
            <w:sz w:val="24"/>
            <w:szCs w:val="24"/>
            <w:vertAlign w:val="superscript"/>
          </w:rPr>
          <w:t>nd</w:t>
        </w:r>
        <w:r w:rsidRPr="001501E2">
          <w:rPr>
            <w:rStyle w:val="Hyperlink"/>
            <w:rFonts w:cstheme="minorHAnsi"/>
            <w:sz w:val="24"/>
            <w:szCs w:val="24"/>
          </w:rPr>
          <w:t> International Conference on Dental Practice</w:t>
        </w:r>
        <w:r w:rsidRPr="001501E2">
          <w:rPr>
            <w:rStyle w:val="Hyperlink"/>
            <w:rFonts w:cstheme="minorHAnsi"/>
            <w:sz w:val="24"/>
            <w:szCs w:val="24"/>
            <w:shd w:val="clear" w:color="auto" w:fill="FFFFFF"/>
          </w:rPr>
          <w:t>"</w:t>
        </w:r>
      </w:hyperlink>
      <w:r w:rsidRPr="001501E2">
        <w:rPr>
          <w:rFonts w:cstheme="minorHAnsi"/>
          <w:color w:val="000000"/>
          <w:sz w:val="24"/>
          <w:szCs w:val="24"/>
          <w:shd w:val="clear" w:color="auto" w:fill="FFFFFF"/>
        </w:rPr>
        <w:t xml:space="preserve"> (webinar) about “AN EASY WAY TO BRACES SYSTME”. Spoke in TV interviews in famous local and international TV channel, speaker at the 5th </w:t>
      </w:r>
      <w:hyperlink r:id="rId14" w:history="1">
        <w:r w:rsidRPr="001501E2">
          <w:rPr>
            <w:rStyle w:val="Hyperlink"/>
            <w:rFonts w:cstheme="minorHAnsi"/>
            <w:sz w:val="24"/>
            <w:szCs w:val="24"/>
            <w:shd w:val="clear" w:color="auto" w:fill="FFFFFF"/>
          </w:rPr>
          <w:t>World Dental Conference Barcelona/Spain</w:t>
        </w:r>
      </w:hyperlink>
      <w:r w:rsidRPr="001501E2">
        <w:rPr>
          <w:rFonts w:cstheme="minorHAnsi"/>
          <w:color w:val="000000"/>
          <w:sz w:val="24"/>
          <w:szCs w:val="24"/>
          <w:shd w:val="clear" w:color="auto" w:fill="FFFFFF"/>
        </w:rPr>
        <w:t xml:space="preserve">, speaker at </w:t>
      </w:r>
      <w:hyperlink r:id="rId15" w:history="1">
        <w:r w:rsidRPr="001501E2">
          <w:rPr>
            <w:rStyle w:val="Hyperlink"/>
            <w:rFonts w:cstheme="minorHAnsi"/>
            <w:sz w:val="24"/>
            <w:szCs w:val="24"/>
            <w:shd w:val="clear" w:color="auto" w:fill="FFFFFF"/>
          </w:rPr>
          <w:t>44th International Conference</w:t>
        </w:r>
      </w:hyperlink>
      <w:r w:rsidRPr="001501E2">
        <w:rPr>
          <w:rFonts w:cstheme="minorHAnsi"/>
          <w:color w:val="000000"/>
          <w:sz w:val="24"/>
          <w:szCs w:val="24"/>
          <w:shd w:val="clear" w:color="auto" w:fill="FFFFFF"/>
        </w:rPr>
        <w:t xml:space="preserve"> on Dental Research and Oral Health held during July 04, 2022, speaker at </w:t>
      </w:r>
      <w:hyperlink r:id="rId16" w:history="1">
        <w:r w:rsidRPr="001501E2">
          <w:rPr>
            <w:rStyle w:val="Hyperlink"/>
            <w:rFonts w:cstheme="minorHAnsi"/>
            <w:sz w:val="24"/>
            <w:szCs w:val="24"/>
            <w:shd w:val="clear" w:color="auto" w:fill="FFFFFF"/>
          </w:rPr>
          <w:t>13th International Conference</w:t>
        </w:r>
      </w:hyperlink>
      <w:r w:rsidRPr="001501E2">
        <w:rPr>
          <w:rFonts w:cstheme="minorHAnsi"/>
          <w:color w:val="000000"/>
          <w:sz w:val="24"/>
          <w:szCs w:val="24"/>
          <w:shd w:val="clear" w:color="auto" w:fill="FFFFFF"/>
        </w:rPr>
        <w:t xml:space="preserve"> Preventive Medicine &amp; Public Health August 09, 2022 I Webinar, Speaker at </w:t>
      </w:r>
      <w:hyperlink r:id="rId17" w:history="1">
        <w:r w:rsidRPr="001501E2">
          <w:rPr>
            <w:rStyle w:val="Hyperlink"/>
            <w:rFonts w:cstheme="minorHAnsi"/>
            <w:sz w:val="24"/>
            <w:szCs w:val="24"/>
            <w:shd w:val="clear" w:color="auto" w:fill="FFFFFF"/>
          </w:rPr>
          <w:t>ADOH 2022 DUBAI</w:t>
        </w:r>
      </w:hyperlink>
      <w:r w:rsidRPr="001501E2">
        <w:rPr>
          <w:rFonts w:cstheme="minorHAnsi"/>
          <w:color w:val="000000"/>
          <w:sz w:val="24"/>
          <w:szCs w:val="24"/>
          <w:shd w:val="clear" w:color="auto" w:fill="FFFFFF"/>
        </w:rPr>
        <w:t xml:space="preserve"> 28 November, 2022</w:t>
      </w:r>
      <w:r>
        <w:rPr>
          <w:rFonts w:cstheme="minorHAnsi"/>
          <w:color w:val="000000"/>
          <w:shd w:val="clear" w:color="auto" w:fill="FFFFFF"/>
        </w:rPr>
        <w:t>.</w:t>
      </w:r>
      <w:r w:rsidR="00D61155" w:rsidRPr="00D61155">
        <w:rPr>
          <w:rFonts w:ascii="Tw Cen MT" w:hAnsi="Tw Cen MT"/>
          <w:color w:val="000000"/>
          <w:sz w:val="28"/>
          <w:szCs w:val="28"/>
          <w:shd w:val="clear" w:color="auto" w:fill="FFFFFF"/>
        </w:rPr>
        <w:t xml:space="preserve"> </w:t>
      </w:r>
      <w:r w:rsidR="00D61155">
        <w:rPr>
          <w:rFonts w:ascii="Tw Cen MT" w:hAnsi="Tw Cen MT"/>
          <w:color w:val="000000"/>
          <w:sz w:val="28"/>
          <w:szCs w:val="28"/>
          <w:shd w:val="clear" w:color="auto" w:fill="FFFFFF"/>
        </w:rPr>
        <w:t xml:space="preserve">Speaker at </w:t>
      </w:r>
      <w:hyperlink r:id="rId18" w:history="1">
        <w:r w:rsidR="00D61155" w:rsidRPr="00025B80">
          <w:rPr>
            <w:rStyle w:val="Hyperlink"/>
            <w:rFonts w:ascii="Tw Cen MT" w:hAnsi="Tw Cen MT"/>
            <w:sz w:val="28"/>
            <w:szCs w:val="28"/>
            <w:shd w:val="clear" w:color="auto" w:fill="FFFFFF"/>
          </w:rPr>
          <w:t>University of Sharjah</w:t>
        </w:r>
      </w:hyperlink>
      <w:r w:rsidR="00D61155">
        <w:rPr>
          <w:rFonts w:ascii="Tw Cen MT" w:hAnsi="Tw Cen MT"/>
          <w:color w:val="000000"/>
          <w:sz w:val="28"/>
          <w:szCs w:val="28"/>
          <w:shd w:val="clear" w:color="auto" w:fill="FFFFFF"/>
        </w:rPr>
        <w:t xml:space="preserve"> 11 </w:t>
      </w:r>
      <w:r w:rsidR="00707F19">
        <w:rPr>
          <w:rFonts w:ascii="Tw Cen MT" w:hAnsi="Tw Cen MT"/>
          <w:color w:val="000000"/>
          <w:sz w:val="28"/>
          <w:szCs w:val="28"/>
          <w:shd w:val="clear" w:color="auto" w:fill="FFFFFF"/>
        </w:rPr>
        <w:t>Feb</w:t>
      </w:r>
      <w:r w:rsidR="00D61155">
        <w:rPr>
          <w:rFonts w:ascii="Tw Cen MT" w:hAnsi="Tw Cen MT"/>
          <w:color w:val="000000"/>
          <w:sz w:val="28"/>
          <w:szCs w:val="28"/>
          <w:shd w:val="clear" w:color="auto" w:fill="FFFFFF"/>
        </w:rPr>
        <w:t xml:space="preserve"> 2023.</w:t>
      </w:r>
      <w:r w:rsidR="00CA7509">
        <w:rPr>
          <w:rFonts w:ascii="Tw Cen MT" w:hAnsi="Tw Cen MT"/>
          <w:color w:val="000000"/>
          <w:sz w:val="28"/>
          <w:szCs w:val="28"/>
          <w:shd w:val="clear" w:color="auto" w:fill="FFFFFF"/>
        </w:rPr>
        <w:t xml:space="preserve"> Speaker at </w:t>
      </w:r>
      <w:hyperlink r:id="rId19" w:history="1">
        <w:r w:rsidR="00CA7509" w:rsidRPr="00CA7509">
          <w:rPr>
            <w:rStyle w:val="Hyperlink"/>
            <w:rFonts w:ascii="Tw Cen MT" w:hAnsi="Tw Cen MT"/>
            <w:sz w:val="28"/>
            <w:szCs w:val="28"/>
            <w:shd w:val="clear" w:color="auto" w:fill="FFFFFF"/>
          </w:rPr>
          <w:t>8</w:t>
        </w:r>
        <w:r w:rsidR="00CA7509" w:rsidRPr="00CA7509">
          <w:rPr>
            <w:rStyle w:val="Hyperlink"/>
            <w:rFonts w:ascii="Tw Cen MT" w:hAnsi="Tw Cen MT"/>
            <w:sz w:val="28"/>
            <w:szCs w:val="28"/>
            <w:shd w:val="clear" w:color="auto" w:fill="FFFFFF"/>
            <w:vertAlign w:val="superscript"/>
          </w:rPr>
          <w:t>th</w:t>
        </w:r>
        <w:r w:rsidR="00CA7509" w:rsidRPr="00CA7509">
          <w:rPr>
            <w:rStyle w:val="Hyperlink"/>
            <w:rFonts w:ascii="Tw Cen MT" w:hAnsi="Tw Cen MT"/>
            <w:sz w:val="28"/>
            <w:szCs w:val="28"/>
            <w:shd w:val="clear" w:color="auto" w:fill="FFFFFF"/>
          </w:rPr>
          <w:t xml:space="preserve"> World Dental Conference, Bangkok/Thailand</w:t>
        </w:r>
      </w:hyperlink>
      <w:r w:rsidR="00CA7509">
        <w:rPr>
          <w:rFonts w:ascii="Tw Cen MT" w:hAnsi="Tw Cen MT"/>
          <w:color w:val="000000"/>
          <w:sz w:val="28"/>
          <w:szCs w:val="28"/>
          <w:shd w:val="clear" w:color="auto" w:fill="FFFFFF"/>
        </w:rPr>
        <w:t xml:space="preserve"> 16 </w:t>
      </w:r>
      <w:r w:rsidR="00707F19">
        <w:rPr>
          <w:rFonts w:ascii="Tw Cen MT" w:hAnsi="Tw Cen MT"/>
          <w:color w:val="000000"/>
          <w:sz w:val="28"/>
          <w:szCs w:val="28"/>
          <w:shd w:val="clear" w:color="auto" w:fill="FFFFFF"/>
        </w:rPr>
        <w:t>Mar</w:t>
      </w:r>
      <w:r w:rsidR="00CA7509">
        <w:rPr>
          <w:rFonts w:ascii="Tw Cen MT" w:hAnsi="Tw Cen MT"/>
          <w:color w:val="000000"/>
          <w:sz w:val="28"/>
          <w:szCs w:val="28"/>
          <w:shd w:val="clear" w:color="auto" w:fill="FFFFFF"/>
        </w:rPr>
        <w:t xml:space="preserve"> 2023</w:t>
      </w:r>
    </w:p>
    <w:p w14:paraId="34A77158" w14:textId="11761BD7" w:rsidR="00227E1A" w:rsidRPr="001501E2" w:rsidRDefault="00227E1A" w:rsidP="00227E1A">
      <w:pPr>
        <w:ind w:left="360"/>
        <w:jc w:val="lowKashida"/>
        <w:rPr>
          <w:rFonts w:cstheme="minorHAnsi"/>
          <w:color w:val="000000"/>
          <w:sz w:val="24"/>
          <w:szCs w:val="24"/>
          <w:shd w:val="clear" w:color="auto" w:fill="FFFFFF"/>
        </w:rPr>
      </w:pPr>
    </w:p>
    <w:p w14:paraId="63A837F8" w14:textId="77777777" w:rsidR="0019357E" w:rsidRPr="0019357E" w:rsidRDefault="0019357E" w:rsidP="00227E1A">
      <w:pPr>
        <w:spacing w:after="0" w:line="240" w:lineRule="auto"/>
        <w:ind w:left="720"/>
        <w:jc w:val="lowKashida"/>
        <w:rPr>
          <w:rFonts w:cstheme="minorHAnsi"/>
          <w:color w:val="000000"/>
          <w:shd w:val="clear" w:color="auto" w:fill="FFFFFF"/>
        </w:rPr>
      </w:pPr>
    </w:p>
    <w:p w14:paraId="0C793F0A" w14:textId="0A33EF8C" w:rsidR="0019357E" w:rsidRPr="0019357E" w:rsidRDefault="00707F19" w:rsidP="0019357E">
      <w:pPr>
        <w:rPr>
          <w:rFonts w:cstheme="minorHAnsi"/>
        </w:rPr>
      </w:pPr>
      <w:r w:rsidRPr="0019357E">
        <w:rPr>
          <w:rFonts w:cstheme="minorHAnsi"/>
          <w:b/>
          <w:bCs/>
        </w:rPr>
        <w:t>Research</w:t>
      </w:r>
      <w:r w:rsidR="0019357E" w:rsidRPr="0019357E">
        <w:rPr>
          <w:rFonts w:cstheme="minorHAnsi"/>
          <w:b/>
          <w:bCs/>
        </w:rPr>
        <w:t xml:space="preserve"> &amp; publications</w:t>
      </w:r>
      <w:r w:rsidR="0019357E" w:rsidRPr="0019357E">
        <w:rPr>
          <w:rFonts w:cstheme="minorHAnsi"/>
        </w:rPr>
        <w:t>:</w:t>
      </w:r>
    </w:p>
    <w:p w14:paraId="2274258C" w14:textId="77777777" w:rsidR="0019357E" w:rsidRPr="0019357E" w:rsidRDefault="0019357E" w:rsidP="0019357E">
      <w:pPr>
        <w:numPr>
          <w:ilvl w:val="0"/>
          <w:numId w:val="1"/>
        </w:numPr>
        <w:spacing w:after="0" w:line="240" w:lineRule="auto"/>
        <w:jc w:val="lowKashida"/>
        <w:rPr>
          <w:rFonts w:cstheme="minorHAnsi"/>
        </w:rPr>
      </w:pPr>
      <w:r w:rsidRPr="0019357E">
        <w:rPr>
          <w:rFonts w:cstheme="minorHAnsi"/>
        </w:rPr>
        <w:t xml:space="preserve">Certificate study about Damon bracket system </w:t>
      </w:r>
      <w:hyperlink r:id="rId20" w:history="1">
        <w:r w:rsidRPr="0019357E">
          <w:rPr>
            <w:rStyle w:val="Hyperlink"/>
            <w:rFonts w:cstheme="minorHAnsi"/>
          </w:rPr>
          <w:t>"orthodontic without extraction” (search number 66) (2012).</w:t>
        </w:r>
      </w:hyperlink>
    </w:p>
    <w:p w14:paraId="5CD12733" w14:textId="77777777" w:rsidR="0019357E" w:rsidRPr="0019357E" w:rsidRDefault="0019357E" w:rsidP="0019357E">
      <w:pPr>
        <w:numPr>
          <w:ilvl w:val="0"/>
          <w:numId w:val="1"/>
        </w:numPr>
        <w:spacing w:after="0" w:line="240" w:lineRule="auto"/>
        <w:jc w:val="lowKashida"/>
        <w:rPr>
          <w:rFonts w:cstheme="minorHAnsi"/>
        </w:rPr>
      </w:pPr>
      <w:r w:rsidRPr="0019357E">
        <w:rPr>
          <w:rFonts w:cstheme="minorHAnsi"/>
        </w:rPr>
        <w:t>Translation of a search from 150 pages about lingual braces from English to Russian (2012).</w:t>
      </w:r>
    </w:p>
    <w:p w14:paraId="5ED9CA55" w14:textId="77777777" w:rsidR="0019357E" w:rsidRPr="0019357E" w:rsidRDefault="0019357E" w:rsidP="0019357E">
      <w:pPr>
        <w:numPr>
          <w:ilvl w:val="0"/>
          <w:numId w:val="1"/>
        </w:numPr>
        <w:spacing w:after="0" w:line="240" w:lineRule="auto"/>
        <w:jc w:val="lowKashida"/>
        <w:rPr>
          <w:rFonts w:cstheme="minorHAnsi"/>
          <w:color w:val="2F5496"/>
          <w:shd w:val="clear" w:color="auto" w:fill="FFFFFF"/>
        </w:rPr>
      </w:pPr>
      <w:r w:rsidRPr="0019357E">
        <w:rPr>
          <w:rFonts w:cstheme="minorHAnsi"/>
          <w:color w:val="262626"/>
          <w:shd w:val="clear" w:color="auto" w:fill="FFFFFF"/>
        </w:rPr>
        <w:t xml:space="preserve">Research publication on </w:t>
      </w:r>
      <w:hyperlink r:id="rId21" w:history="1">
        <w:r w:rsidRPr="0019357E">
          <w:rPr>
            <w:rStyle w:val="Hyperlink"/>
            <w:rFonts w:cstheme="minorHAnsi"/>
            <w:color w:val="44546A"/>
            <w:shd w:val="clear" w:color="auto" w:fill="FFFFFF"/>
          </w:rPr>
          <w:t>crimsonpublishers.com about treatment with self-ligating braces without extraction</w:t>
        </w:r>
      </w:hyperlink>
      <w:r w:rsidRPr="0019357E">
        <w:rPr>
          <w:rFonts w:cstheme="minorHAnsi"/>
          <w:color w:val="44546A"/>
          <w:shd w:val="clear" w:color="auto" w:fill="FFFFFF"/>
        </w:rPr>
        <w:t>.</w:t>
      </w:r>
    </w:p>
    <w:bookmarkEnd w:id="0"/>
    <w:bookmarkEnd w:id="1"/>
    <w:p w14:paraId="1061278E" w14:textId="77777777" w:rsidR="00EE6418" w:rsidRDefault="00EE6418" w:rsidP="00EE6418">
      <w:pPr>
        <w:jc w:val="both"/>
        <w:rPr>
          <w:rFonts w:cstheme="minorHAnsi"/>
          <w:color w:val="000000"/>
        </w:rPr>
      </w:pPr>
    </w:p>
    <w:p w14:paraId="43FB7533" w14:textId="77777777" w:rsidR="00707F19" w:rsidRDefault="00707F19" w:rsidP="00EE6418">
      <w:pPr>
        <w:jc w:val="both"/>
        <w:rPr>
          <w:rFonts w:ascii="Open Sans" w:hAnsi="Open Sans" w:cs="Open Sans"/>
          <w:color w:val="000000"/>
          <w:sz w:val="21"/>
          <w:szCs w:val="21"/>
        </w:rPr>
      </w:pPr>
    </w:p>
    <w:p w14:paraId="2137C9CB" w14:textId="77777777" w:rsidR="00EE6418" w:rsidRDefault="00EE6418" w:rsidP="00EE6418">
      <w:pPr>
        <w:rPr>
          <w:rFonts w:cstheme="minorHAnsi"/>
          <w:b/>
          <w:bCs/>
          <w:color w:val="000000"/>
          <w:sz w:val="21"/>
          <w:szCs w:val="21"/>
        </w:rPr>
      </w:pPr>
      <w:bookmarkStart w:id="2" w:name="_Hlk101738136"/>
      <w:r w:rsidRPr="00EE6418">
        <w:rPr>
          <w:rFonts w:cstheme="minorHAnsi"/>
          <w:b/>
          <w:bCs/>
          <w:color w:val="000000"/>
          <w:sz w:val="21"/>
          <w:szCs w:val="21"/>
        </w:rPr>
        <w:t>BELARUSIAN STATE MEDICAL UNIVERSITY</w:t>
      </w:r>
      <w:r>
        <w:rPr>
          <w:rFonts w:cstheme="minorHAnsi"/>
          <w:b/>
          <w:bCs/>
          <w:color w:val="000000"/>
          <w:sz w:val="21"/>
          <w:szCs w:val="21"/>
        </w:rPr>
        <w:t>:</w:t>
      </w:r>
    </w:p>
    <w:p w14:paraId="4AE29CC4" w14:textId="72A4EDE2" w:rsidR="00EE6418" w:rsidRPr="00EE6418" w:rsidRDefault="00EE6418" w:rsidP="00EE6418">
      <w:pPr>
        <w:rPr>
          <w:rFonts w:cstheme="minorHAnsi"/>
          <w:color w:val="414141"/>
        </w:rPr>
      </w:pPr>
      <w:r w:rsidRPr="00EE6418">
        <w:rPr>
          <w:rFonts w:cstheme="minorHAnsi"/>
          <w:color w:val="414141"/>
        </w:rPr>
        <w:t xml:space="preserve">Belarusian State Medical University is the leading higher medical educational institution of the Republic of Belarus, which has a well-deserved authority and recognition not only in our country, but also far beyond its borders. In November 2021, it will celebrate the centenary of its inception. The beginning of its history dates back to 1921, when the opening of the Belarusian State University was announced, which included the Faculty of Medicine, which in 1930 became an independent educational institution. </w:t>
      </w:r>
      <w:r w:rsidRPr="00EE6418">
        <w:rPr>
          <w:rFonts w:cstheme="minorHAnsi"/>
          <w:color w:val="414141"/>
        </w:rPr>
        <w:lastRenderedPageBreak/>
        <w:t>The first graduation of doctors took place in 1925 - 21 people received a diploma of graduation from the faculty.</w:t>
      </w:r>
    </w:p>
    <w:p w14:paraId="3C46D968" w14:textId="59A7E45B" w:rsidR="00EE6418" w:rsidRPr="00EE6418" w:rsidRDefault="00EE6418" w:rsidP="00EE6418">
      <w:pPr>
        <w:rPr>
          <w:rFonts w:cstheme="minorHAnsi"/>
          <w:color w:val="414141"/>
        </w:rPr>
      </w:pPr>
      <w:r w:rsidRPr="00EE6418">
        <w:rPr>
          <w:rFonts w:cstheme="minorHAnsi"/>
          <w:color w:val="414141"/>
        </w:rPr>
        <w:t>In 2001, at that time, the Minsk State Medical Institute was renamed into the Belarusian State Medical University and received the status of the leading medical university of the Republic of Belarus.</w:t>
      </w:r>
    </w:p>
    <w:bookmarkEnd w:id="2"/>
    <w:p w14:paraId="6E99576B" w14:textId="2857C9BA" w:rsidR="005633E2" w:rsidRPr="00EE6418" w:rsidRDefault="005633E2" w:rsidP="00EE6418">
      <w:pPr>
        <w:rPr>
          <w:rFonts w:eastAsia="MS PGothic" w:cstheme="minorHAnsi"/>
          <w:b/>
          <w:bCs/>
          <w:color w:val="000000"/>
          <w:szCs w:val="32"/>
        </w:rPr>
      </w:pPr>
      <w:r w:rsidRPr="00EE6418">
        <w:rPr>
          <w:rFonts w:cstheme="minorHAnsi"/>
          <w:b/>
          <w:bCs/>
        </w:rPr>
        <w:br/>
      </w:r>
    </w:p>
    <w:p w14:paraId="11E8FE61" w14:textId="77777777" w:rsidR="00E35B7C" w:rsidRDefault="005633E2" w:rsidP="005633E2">
      <w:pPr>
        <w:autoSpaceDE w:val="0"/>
        <w:autoSpaceDN w:val="0"/>
        <w:adjustRightInd w:val="0"/>
        <w:rPr>
          <w:rFonts w:ascii="Calibri" w:hAnsi="Calibri" w:cs="Calibri"/>
          <w:lang w:val="en-NZ"/>
        </w:rPr>
      </w:pPr>
      <w:r>
        <w:rPr>
          <w:rFonts w:ascii="Calibri" w:hAnsi="Calibri" w:cs="Calibri"/>
          <w:b/>
          <w:lang w:val="en-NZ"/>
        </w:rPr>
        <w:t xml:space="preserve">Presenting author details </w:t>
      </w:r>
      <w:r>
        <w:rPr>
          <w:rFonts w:ascii="Calibri" w:hAnsi="Calibri" w:cs="Calibri"/>
          <w:b/>
          <w:lang w:val="en-NZ"/>
        </w:rPr>
        <w:br/>
      </w:r>
      <w:r>
        <w:rPr>
          <w:rFonts w:ascii="Calibri" w:hAnsi="Calibri" w:cs="Calibri"/>
          <w:lang w:val="en-NZ"/>
        </w:rPr>
        <w:t>Full name: Aiman Obeid</w:t>
      </w:r>
      <w:r>
        <w:rPr>
          <w:rFonts w:ascii="Calibri" w:hAnsi="Calibri" w:cs="Calibri"/>
          <w:lang w:val="en-NZ"/>
        </w:rPr>
        <w:br/>
        <w:t>Contact number: +971529332888</w:t>
      </w:r>
    </w:p>
    <w:p w14:paraId="0BBB9205" w14:textId="32738EEE" w:rsidR="005633E2" w:rsidRDefault="00E35B7C" w:rsidP="005633E2">
      <w:pPr>
        <w:autoSpaceDE w:val="0"/>
        <w:autoSpaceDN w:val="0"/>
        <w:adjustRightInd w:val="0"/>
        <w:rPr>
          <w:rFonts w:ascii="Calibri" w:hAnsi="Calibri" w:cs="Calibri"/>
          <w:lang w:val="en-NZ"/>
        </w:rPr>
      </w:pPr>
      <w:r>
        <w:rPr>
          <w:rFonts w:ascii="Calibri" w:hAnsi="Calibri" w:cs="Calibri"/>
          <w:lang w:val="en-NZ"/>
        </w:rPr>
        <w:t>Dr.ortho.aiman@gmail.com</w:t>
      </w:r>
      <w:r w:rsidR="005633E2">
        <w:rPr>
          <w:rFonts w:ascii="Calibri" w:hAnsi="Calibri" w:cs="Calibri"/>
          <w:lang w:val="en-NZ"/>
        </w:rPr>
        <w:br/>
      </w:r>
      <w:bookmarkStart w:id="3" w:name="_Hlk92729054"/>
      <w:r w:rsidR="0007038D">
        <w:rPr>
          <w:rFonts w:ascii="Calibri" w:hAnsi="Calibri" w:cs="Calibri"/>
          <w:lang w:val="en-NZ"/>
        </w:rPr>
        <w:fldChar w:fldCharType="begin"/>
      </w:r>
      <w:r w:rsidR="0007038D">
        <w:rPr>
          <w:rFonts w:ascii="Calibri" w:hAnsi="Calibri" w:cs="Calibri"/>
          <w:lang w:val="en-NZ"/>
        </w:rPr>
        <w:instrText xml:space="preserve"> HYPERLINK "linkedin.com/in/aiman-obeid-56a39bb0" </w:instrText>
      </w:r>
      <w:r w:rsidR="0007038D">
        <w:rPr>
          <w:rFonts w:ascii="Calibri" w:hAnsi="Calibri" w:cs="Calibri"/>
          <w:lang w:val="en-NZ"/>
        </w:rPr>
      </w:r>
      <w:r w:rsidR="0007038D">
        <w:rPr>
          <w:rFonts w:ascii="Calibri" w:hAnsi="Calibri" w:cs="Calibri"/>
          <w:lang w:val="en-NZ"/>
        </w:rPr>
        <w:fldChar w:fldCharType="separate"/>
      </w:r>
      <w:r w:rsidR="005633E2" w:rsidRPr="0007038D">
        <w:rPr>
          <w:rStyle w:val="Hyperlink"/>
          <w:rFonts w:ascii="Calibri" w:hAnsi="Calibri" w:cs="Calibri"/>
          <w:lang w:val="en-NZ"/>
        </w:rPr>
        <w:t>LinkedIn account</w:t>
      </w:r>
      <w:r w:rsidR="0007038D">
        <w:rPr>
          <w:rFonts w:ascii="Calibri" w:hAnsi="Calibri" w:cs="Calibri"/>
          <w:lang w:val="en-NZ"/>
        </w:rPr>
        <w:fldChar w:fldCharType="end"/>
      </w:r>
    </w:p>
    <w:p w14:paraId="66318F34" w14:textId="24069347" w:rsidR="0007038D" w:rsidRDefault="00000000" w:rsidP="005633E2">
      <w:pPr>
        <w:autoSpaceDE w:val="0"/>
        <w:autoSpaceDN w:val="0"/>
        <w:adjustRightInd w:val="0"/>
        <w:rPr>
          <w:rFonts w:ascii="Calibri" w:hAnsi="Calibri" w:cs="Calibri"/>
          <w:lang w:val="en-NZ"/>
        </w:rPr>
      </w:pPr>
      <w:hyperlink r:id="rId22" w:history="1">
        <w:r w:rsidR="0007038D" w:rsidRPr="0007038D">
          <w:rPr>
            <w:rStyle w:val="Hyperlink"/>
            <w:rFonts w:ascii="Calibri" w:hAnsi="Calibri" w:cs="Calibri"/>
            <w:lang w:val="en-NZ"/>
          </w:rPr>
          <w:t>FB account</w:t>
        </w:r>
      </w:hyperlink>
    </w:p>
    <w:p w14:paraId="35DD7DE4" w14:textId="76704CB5" w:rsidR="005633E2" w:rsidRDefault="00000000" w:rsidP="00EE6418">
      <w:pPr>
        <w:autoSpaceDE w:val="0"/>
        <w:autoSpaceDN w:val="0"/>
        <w:adjustRightInd w:val="0"/>
        <w:rPr>
          <w:rStyle w:val="Hyperlink"/>
          <w:rFonts w:ascii="Calibri" w:hAnsi="Calibri" w:cs="Calibri"/>
          <w:lang w:val="en-NZ"/>
        </w:rPr>
      </w:pPr>
      <w:hyperlink r:id="rId23" w:history="1">
        <w:r w:rsidR="0007038D" w:rsidRPr="0007038D">
          <w:rPr>
            <w:rStyle w:val="Hyperlink"/>
            <w:rFonts w:ascii="Calibri" w:hAnsi="Calibri" w:cs="Calibri"/>
            <w:lang w:val="en-NZ"/>
          </w:rPr>
          <w:t>Instagram</w:t>
        </w:r>
      </w:hyperlink>
      <w:bookmarkEnd w:id="3"/>
    </w:p>
    <w:p w14:paraId="2BC4166E" w14:textId="2F372D39" w:rsidR="0019357E" w:rsidRDefault="0019357E" w:rsidP="00EE6418">
      <w:pPr>
        <w:autoSpaceDE w:val="0"/>
        <w:autoSpaceDN w:val="0"/>
        <w:adjustRightInd w:val="0"/>
        <w:rPr>
          <w:rStyle w:val="Hyperlink"/>
          <w:rFonts w:ascii="Calibri" w:hAnsi="Calibri" w:cs="Calibri"/>
          <w:lang w:val="en-NZ"/>
        </w:rPr>
      </w:pPr>
    </w:p>
    <w:p w14:paraId="615857D2" w14:textId="3FFC6FB6" w:rsidR="00804BEF" w:rsidRDefault="00CA7509" w:rsidP="00B61C45">
      <w:pPr>
        <w:autoSpaceDE w:val="0"/>
        <w:autoSpaceDN w:val="0"/>
        <w:adjustRightInd w:val="0"/>
        <w:rPr>
          <w:rStyle w:val="Hyperlink"/>
          <w:rFonts w:ascii="Calibri" w:hAnsi="Calibri" w:cs="Calibri"/>
          <w:lang w:val="en-NZ"/>
        </w:rPr>
      </w:pPr>
      <w:r>
        <w:rPr>
          <w:rFonts w:ascii="Calibri" w:hAnsi="Calibri" w:cs="Calibri"/>
          <w:noProof/>
        </w:rPr>
        <w:drawing>
          <wp:inline distT="0" distB="0" distL="0" distR="0" wp14:anchorId="70B72619" wp14:editId="367C6DA4">
            <wp:extent cx="5937250" cy="3663950"/>
            <wp:effectExtent l="133350" t="114300" r="120650" b="165100"/>
            <wp:docPr id="789155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37250" cy="36639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AB11BDE" w14:textId="77777777" w:rsidR="005633E2" w:rsidRPr="005633E2" w:rsidRDefault="005633E2" w:rsidP="005633E2">
      <w:pPr>
        <w:rPr>
          <w:lang w:val="en-NZ"/>
        </w:rPr>
      </w:pPr>
    </w:p>
    <w:sectPr w:rsidR="005633E2" w:rsidRPr="005633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S PGothic">
    <w:panose1 w:val="020B0600070205080204"/>
    <w:charset w:val="80"/>
    <w:family w:val="swiss"/>
    <w:pitch w:val="variable"/>
    <w:sig w:usb0="E00002FF" w:usb1="6AC7FDFB" w:usb2="08000012" w:usb3="00000000" w:csb0="0002009F" w:csb1="00000000"/>
  </w:font>
  <w:font w:name="Open Sans">
    <w:altName w:val="Segoe UI"/>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B62818"/>
    <w:multiLevelType w:val="hybridMultilevel"/>
    <w:tmpl w:val="D85E2EFC"/>
    <w:lvl w:ilvl="0" w:tplc="CA8E62DA">
      <w:start w:val="1"/>
      <w:numFmt w:val="bullet"/>
      <w:lvlText w:val=""/>
      <w:lvlJc w:val="left"/>
      <w:pPr>
        <w:tabs>
          <w:tab w:val="num" w:pos="720"/>
        </w:tabs>
        <w:ind w:left="720" w:hanging="360"/>
      </w:pPr>
      <w:rPr>
        <w:rFonts w:ascii="Wingdings 3" w:hAnsi="Wingdings 3" w:hint="default"/>
      </w:rPr>
    </w:lvl>
    <w:lvl w:ilvl="1" w:tplc="CE7ABE62" w:tentative="1">
      <w:start w:val="1"/>
      <w:numFmt w:val="bullet"/>
      <w:lvlText w:val=""/>
      <w:lvlJc w:val="left"/>
      <w:pPr>
        <w:tabs>
          <w:tab w:val="num" w:pos="1440"/>
        </w:tabs>
        <w:ind w:left="1440" w:hanging="360"/>
      </w:pPr>
      <w:rPr>
        <w:rFonts w:ascii="Wingdings 3" w:hAnsi="Wingdings 3" w:hint="default"/>
      </w:rPr>
    </w:lvl>
    <w:lvl w:ilvl="2" w:tplc="3CCCA68C" w:tentative="1">
      <w:start w:val="1"/>
      <w:numFmt w:val="bullet"/>
      <w:lvlText w:val=""/>
      <w:lvlJc w:val="left"/>
      <w:pPr>
        <w:tabs>
          <w:tab w:val="num" w:pos="2160"/>
        </w:tabs>
        <w:ind w:left="2160" w:hanging="360"/>
      </w:pPr>
      <w:rPr>
        <w:rFonts w:ascii="Wingdings 3" w:hAnsi="Wingdings 3" w:hint="default"/>
      </w:rPr>
    </w:lvl>
    <w:lvl w:ilvl="3" w:tplc="FB269FB2" w:tentative="1">
      <w:start w:val="1"/>
      <w:numFmt w:val="bullet"/>
      <w:lvlText w:val=""/>
      <w:lvlJc w:val="left"/>
      <w:pPr>
        <w:tabs>
          <w:tab w:val="num" w:pos="2880"/>
        </w:tabs>
        <w:ind w:left="2880" w:hanging="360"/>
      </w:pPr>
      <w:rPr>
        <w:rFonts w:ascii="Wingdings 3" w:hAnsi="Wingdings 3" w:hint="default"/>
      </w:rPr>
    </w:lvl>
    <w:lvl w:ilvl="4" w:tplc="FB3AA528" w:tentative="1">
      <w:start w:val="1"/>
      <w:numFmt w:val="bullet"/>
      <w:lvlText w:val=""/>
      <w:lvlJc w:val="left"/>
      <w:pPr>
        <w:tabs>
          <w:tab w:val="num" w:pos="3600"/>
        </w:tabs>
        <w:ind w:left="3600" w:hanging="360"/>
      </w:pPr>
      <w:rPr>
        <w:rFonts w:ascii="Wingdings 3" w:hAnsi="Wingdings 3" w:hint="default"/>
      </w:rPr>
    </w:lvl>
    <w:lvl w:ilvl="5" w:tplc="84427CD0" w:tentative="1">
      <w:start w:val="1"/>
      <w:numFmt w:val="bullet"/>
      <w:lvlText w:val=""/>
      <w:lvlJc w:val="left"/>
      <w:pPr>
        <w:tabs>
          <w:tab w:val="num" w:pos="4320"/>
        </w:tabs>
        <w:ind w:left="4320" w:hanging="360"/>
      </w:pPr>
      <w:rPr>
        <w:rFonts w:ascii="Wingdings 3" w:hAnsi="Wingdings 3" w:hint="default"/>
      </w:rPr>
    </w:lvl>
    <w:lvl w:ilvl="6" w:tplc="B022B05E" w:tentative="1">
      <w:start w:val="1"/>
      <w:numFmt w:val="bullet"/>
      <w:lvlText w:val=""/>
      <w:lvlJc w:val="left"/>
      <w:pPr>
        <w:tabs>
          <w:tab w:val="num" w:pos="5040"/>
        </w:tabs>
        <w:ind w:left="5040" w:hanging="360"/>
      </w:pPr>
      <w:rPr>
        <w:rFonts w:ascii="Wingdings 3" w:hAnsi="Wingdings 3" w:hint="default"/>
      </w:rPr>
    </w:lvl>
    <w:lvl w:ilvl="7" w:tplc="8B6C550A" w:tentative="1">
      <w:start w:val="1"/>
      <w:numFmt w:val="bullet"/>
      <w:lvlText w:val=""/>
      <w:lvlJc w:val="left"/>
      <w:pPr>
        <w:tabs>
          <w:tab w:val="num" w:pos="5760"/>
        </w:tabs>
        <w:ind w:left="5760" w:hanging="360"/>
      </w:pPr>
      <w:rPr>
        <w:rFonts w:ascii="Wingdings 3" w:hAnsi="Wingdings 3" w:hint="default"/>
      </w:rPr>
    </w:lvl>
    <w:lvl w:ilvl="8" w:tplc="B0E4991E"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2E05215D"/>
    <w:multiLevelType w:val="hybridMultilevel"/>
    <w:tmpl w:val="D0DC35E2"/>
    <w:lvl w:ilvl="0" w:tplc="04090003">
      <w:start w:val="1"/>
      <w:numFmt w:val="bullet"/>
      <w:lvlText w:val="o"/>
      <w:lvlJc w:val="left"/>
      <w:pPr>
        <w:tabs>
          <w:tab w:val="num" w:pos="720"/>
        </w:tabs>
        <w:ind w:left="720" w:hanging="360"/>
      </w:pPr>
      <w:rPr>
        <w:rFonts w:ascii="Courier New" w:hAnsi="Courier New" w:cs="Courier New" w:hint="default"/>
      </w:rPr>
    </w:lvl>
    <w:lvl w:ilvl="1" w:tplc="FFFFFFFF" w:tentative="1">
      <w:start w:val="1"/>
      <w:numFmt w:val="bullet"/>
      <w:lvlText w:val=""/>
      <w:lvlJc w:val="left"/>
      <w:pPr>
        <w:tabs>
          <w:tab w:val="num" w:pos="1440"/>
        </w:tabs>
        <w:ind w:left="1440" w:hanging="360"/>
      </w:pPr>
      <w:rPr>
        <w:rFonts w:ascii="Wingdings 3" w:hAnsi="Wingdings 3" w:hint="default"/>
      </w:rPr>
    </w:lvl>
    <w:lvl w:ilvl="2" w:tplc="FFFFFFFF" w:tentative="1">
      <w:start w:val="1"/>
      <w:numFmt w:val="bullet"/>
      <w:lvlText w:val=""/>
      <w:lvlJc w:val="left"/>
      <w:pPr>
        <w:tabs>
          <w:tab w:val="num" w:pos="2160"/>
        </w:tabs>
        <w:ind w:left="2160" w:hanging="360"/>
      </w:pPr>
      <w:rPr>
        <w:rFonts w:ascii="Wingdings 3" w:hAnsi="Wingdings 3" w:hint="default"/>
      </w:rPr>
    </w:lvl>
    <w:lvl w:ilvl="3" w:tplc="FFFFFFFF" w:tentative="1">
      <w:start w:val="1"/>
      <w:numFmt w:val="bullet"/>
      <w:lvlText w:val=""/>
      <w:lvlJc w:val="left"/>
      <w:pPr>
        <w:tabs>
          <w:tab w:val="num" w:pos="2880"/>
        </w:tabs>
        <w:ind w:left="2880" w:hanging="360"/>
      </w:pPr>
      <w:rPr>
        <w:rFonts w:ascii="Wingdings 3" w:hAnsi="Wingdings 3" w:hint="default"/>
      </w:rPr>
    </w:lvl>
    <w:lvl w:ilvl="4" w:tplc="FFFFFFFF" w:tentative="1">
      <w:start w:val="1"/>
      <w:numFmt w:val="bullet"/>
      <w:lvlText w:val=""/>
      <w:lvlJc w:val="left"/>
      <w:pPr>
        <w:tabs>
          <w:tab w:val="num" w:pos="3600"/>
        </w:tabs>
        <w:ind w:left="3600" w:hanging="360"/>
      </w:pPr>
      <w:rPr>
        <w:rFonts w:ascii="Wingdings 3" w:hAnsi="Wingdings 3" w:hint="default"/>
      </w:rPr>
    </w:lvl>
    <w:lvl w:ilvl="5" w:tplc="FFFFFFFF" w:tentative="1">
      <w:start w:val="1"/>
      <w:numFmt w:val="bullet"/>
      <w:lvlText w:val=""/>
      <w:lvlJc w:val="left"/>
      <w:pPr>
        <w:tabs>
          <w:tab w:val="num" w:pos="4320"/>
        </w:tabs>
        <w:ind w:left="4320" w:hanging="360"/>
      </w:pPr>
      <w:rPr>
        <w:rFonts w:ascii="Wingdings 3" w:hAnsi="Wingdings 3" w:hint="default"/>
      </w:rPr>
    </w:lvl>
    <w:lvl w:ilvl="6" w:tplc="FFFFFFFF" w:tentative="1">
      <w:start w:val="1"/>
      <w:numFmt w:val="bullet"/>
      <w:lvlText w:val=""/>
      <w:lvlJc w:val="left"/>
      <w:pPr>
        <w:tabs>
          <w:tab w:val="num" w:pos="5040"/>
        </w:tabs>
        <w:ind w:left="5040" w:hanging="360"/>
      </w:pPr>
      <w:rPr>
        <w:rFonts w:ascii="Wingdings 3" w:hAnsi="Wingdings 3" w:hint="default"/>
      </w:rPr>
    </w:lvl>
    <w:lvl w:ilvl="7" w:tplc="FFFFFFFF" w:tentative="1">
      <w:start w:val="1"/>
      <w:numFmt w:val="bullet"/>
      <w:lvlText w:val=""/>
      <w:lvlJc w:val="left"/>
      <w:pPr>
        <w:tabs>
          <w:tab w:val="num" w:pos="5760"/>
        </w:tabs>
        <w:ind w:left="5760" w:hanging="360"/>
      </w:pPr>
      <w:rPr>
        <w:rFonts w:ascii="Wingdings 3" w:hAnsi="Wingdings 3" w:hint="default"/>
      </w:rPr>
    </w:lvl>
    <w:lvl w:ilvl="8" w:tplc="FFFFFFFF" w:tentative="1">
      <w:start w:val="1"/>
      <w:numFmt w:val="bullet"/>
      <w:lvlText w:val=""/>
      <w:lvlJc w:val="left"/>
      <w:pPr>
        <w:tabs>
          <w:tab w:val="num" w:pos="6480"/>
        </w:tabs>
        <w:ind w:left="6480" w:hanging="360"/>
      </w:pPr>
      <w:rPr>
        <w:rFonts w:ascii="Wingdings 3" w:hAnsi="Wingdings 3" w:hint="default"/>
      </w:rPr>
    </w:lvl>
  </w:abstractNum>
  <w:abstractNum w:abstractNumId="2" w15:restartNumberingAfterBreak="0">
    <w:nsid w:val="2F7D02C4"/>
    <w:multiLevelType w:val="hybridMultilevel"/>
    <w:tmpl w:val="B33CB32A"/>
    <w:lvl w:ilvl="0" w:tplc="0A06C950">
      <w:start w:val="1"/>
      <w:numFmt w:val="bullet"/>
      <w:lvlText w:val=""/>
      <w:lvlJc w:val="left"/>
      <w:pPr>
        <w:ind w:left="72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8674">
    <w:abstractNumId w:val="2"/>
  </w:num>
  <w:num w:numId="2" w16cid:durableId="1192917280">
    <w:abstractNumId w:val="0"/>
  </w:num>
  <w:num w:numId="3" w16cid:durableId="15386614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1CC"/>
    <w:rsid w:val="0007038D"/>
    <w:rsid w:val="000D11CC"/>
    <w:rsid w:val="0019357E"/>
    <w:rsid w:val="001D00FD"/>
    <w:rsid w:val="00227E1A"/>
    <w:rsid w:val="00401290"/>
    <w:rsid w:val="005633E2"/>
    <w:rsid w:val="006F49A6"/>
    <w:rsid w:val="00707F19"/>
    <w:rsid w:val="007E6BDC"/>
    <w:rsid w:val="007F5A73"/>
    <w:rsid w:val="00804BEF"/>
    <w:rsid w:val="00826A05"/>
    <w:rsid w:val="00AB54FE"/>
    <w:rsid w:val="00AE5935"/>
    <w:rsid w:val="00B61C45"/>
    <w:rsid w:val="00BF61F9"/>
    <w:rsid w:val="00C764A0"/>
    <w:rsid w:val="00CA7509"/>
    <w:rsid w:val="00D61155"/>
    <w:rsid w:val="00E35B7C"/>
    <w:rsid w:val="00EE641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D49B8"/>
  <w15:chartTrackingRefBased/>
  <w15:docId w15:val="{C7FE52AD-E37E-445C-8EE3-768099BCA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038D"/>
    <w:rPr>
      <w:color w:val="0563C1" w:themeColor="hyperlink"/>
      <w:u w:val="single"/>
    </w:rPr>
  </w:style>
  <w:style w:type="character" w:customStyle="1" w:styleId="UnresolvedMention1">
    <w:name w:val="Unresolved Mention1"/>
    <w:basedOn w:val="DefaultParagraphFont"/>
    <w:uiPriority w:val="99"/>
    <w:semiHidden/>
    <w:unhideWhenUsed/>
    <w:rsid w:val="0007038D"/>
    <w:rPr>
      <w:color w:val="605E5C"/>
      <w:shd w:val="clear" w:color="auto" w:fill="E1DFDD"/>
    </w:rPr>
  </w:style>
  <w:style w:type="character" w:styleId="UnresolvedMention">
    <w:name w:val="Unresolved Mention"/>
    <w:basedOn w:val="DefaultParagraphFont"/>
    <w:uiPriority w:val="99"/>
    <w:semiHidden/>
    <w:unhideWhenUsed/>
    <w:rsid w:val="00CA75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7744557">
      <w:bodyDiv w:val="1"/>
      <w:marLeft w:val="0"/>
      <w:marRight w:val="0"/>
      <w:marTop w:val="0"/>
      <w:marBottom w:val="0"/>
      <w:divBdr>
        <w:top w:val="none" w:sz="0" w:space="0" w:color="auto"/>
        <w:left w:val="none" w:sz="0" w:space="0" w:color="auto"/>
        <w:bottom w:val="none" w:sz="0" w:space="0" w:color="auto"/>
        <w:right w:val="none" w:sz="0" w:space="0" w:color="auto"/>
      </w:divBdr>
      <w:divsChild>
        <w:div w:id="1184704558">
          <w:marLeft w:val="216"/>
          <w:marRight w:val="0"/>
          <w:marTop w:val="80"/>
          <w:marBottom w:val="0"/>
          <w:divBdr>
            <w:top w:val="none" w:sz="0" w:space="0" w:color="auto"/>
            <w:left w:val="none" w:sz="0" w:space="0" w:color="auto"/>
            <w:bottom w:val="none" w:sz="0" w:space="0" w:color="auto"/>
            <w:right w:val="none" w:sz="0" w:space="0" w:color="auto"/>
          </w:divBdr>
        </w:div>
        <w:div w:id="2137864984">
          <w:marLeft w:val="216"/>
          <w:marRight w:val="0"/>
          <w:marTop w:val="80"/>
          <w:marBottom w:val="0"/>
          <w:divBdr>
            <w:top w:val="none" w:sz="0" w:space="0" w:color="auto"/>
            <w:left w:val="none" w:sz="0" w:space="0" w:color="auto"/>
            <w:bottom w:val="none" w:sz="0" w:space="0" w:color="auto"/>
            <w:right w:val="none" w:sz="0" w:space="0" w:color="auto"/>
          </w:divBdr>
        </w:div>
        <w:div w:id="543830117">
          <w:marLeft w:val="216"/>
          <w:marRight w:val="0"/>
          <w:marTop w:val="80"/>
          <w:marBottom w:val="0"/>
          <w:divBdr>
            <w:top w:val="none" w:sz="0" w:space="0" w:color="auto"/>
            <w:left w:val="none" w:sz="0" w:space="0" w:color="auto"/>
            <w:bottom w:val="none" w:sz="0" w:space="0" w:color="auto"/>
            <w:right w:val="none" w:sz="0" w:space="0" w:color="auto"/>
          </w:divBdr>
        </w:div>
        <w:div w:id="1016494146">
          <w:marLeft w:val="216"/>
          <w:marRight w:val="0"/>
          <w:marTop w:val="80"/>
          <w:marBottom w:val="0"/>
          <w:divBdr>
            <w:top w:val="none" w:sz="0" w:space="0" w:color="auto"/>
            <w:left w:val="none" w:sz="0" w:space="0" w:color="auto"/>
            <w:bottom w:val="none" w:sz="0" w:space="0" w:color="auto"/>
            <w:right w:val="none" w:sz="0" w:space="0" w:color="auto"/>
          </w:divBdr>
        </w:div>
        <w:div w:id="1608150578">
          <w:marLeft w:val="216"/>
          <w:marRight w:val="0"/>
          <w:marTop w:val="80"/>
          <w:marBottom w:val="0"/>
          <w:divBdr>
            <w:top w:val="none" w:sz="0" w:space="0" w:color="auto"/>
            <w:left w:val="none" w:sz="0" w:space="0" w:color="auto"/>
            <w:bottom w:val="none" w:sz="0" w:space="0" w:color="auto"/>
            <w:right w:val="none" w:sz="0" w:space="0" w:color="auto"/>
          </w:divBdr>
        </w:div>
        <w:div w:id="1744524515">
          <w:marLeft w:val="216"/>
          <w:marRight w:val="0"/>
          <w:marTop w:val="80"/>
          <w:marBottom w:val="0"/>
          <w:divBdr>
            <w:top w:val="none" w:sz="0" w:space="0" w:color="auto"/>
            <w:left w:val="none" w:sz="0" w:space="0" w:color="auto"/>
            <w:bottom w:val="none" w:sz="0" w:space="0" w:color="auto"/>
            <w:right w:val="none" w:sz="0" w:space="0" w:color="auto"/>
          </w:divBdr>
        </w:div>
        <w:div w:id="1595095107">
          <w:marLeft w:val="216"/>
          <w:marRight w:val="0"/>
          <w:marTop w:val="80"/>
          <w:marBottom w:val="0"/>
          <w:divBdr>
            <w:top w:val="none" w:sz="0" w:space="0" w:color="auto"/>
            <w:left w:val="none" w:sz="0" w:space="0" w:color="auto"/>
            <w:bottom w:val="none" w:sz="0" w:space="0" w:color="auto"/>
            <w:right w:val="none" w:sz="0" w:space="0" w:color="auto"/>
          </w:divBdr>
        </w:div>
        <w:div w:id="423498078">
          <w:marLeft w:val="216"/>
          <w:marRight w:val="0"/>
          <w:marTop w:val="80"/>
          <w:marBottom w:val="0"/>
          <w:divBdr>
            <w:top w:val="none" w:sz="0" w:space="0" w:color="auto"/>
            <w:left w:val="none" w:sz="0" w:space="0" w:color="auto"/>
            <w:bottom w:val="none" w:sz="0" w:space="0" w:color="auto"/>
            <w:right w:val="none" w:sz="0" w:space="0" w:color="auto"/>
          </w:divBdr>
        </w:div>
      </w:divsChild>
    </w:div>
    <w:div w:id="1892616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searchgate.net/" TargetMode="External"/><Relationship Id="rId13" Type="http://schemas.openxmlformats.org/officeDocument/2006/relationships/hyperlink" Target="https://drive.google.com/file/d/1EVN7p-dXrtnqfRrR1uydpbDK1zp1rvpB/view?usp=sharing" TargetMode="External"/><Relationship Id="rId18" Type="http://schemas.openxmlformats.org/officeDocument/2006/relationships/hyperlink" Target="https://www.instagram.com/reel/ConHQjaJ4I2/?utm_source=ig_web_copy_link"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crimsonpublishers.com/mrd/fulltext/MRD.000553.php" TargetMode="External"/><Relationship Id="rId7" Type="http://schemas.openxmlformats.org/officeDocument/2006/relationships/hyperlink" Target="https://progressinorthodontics.springeropen.com/articles/10.1186/s40510-021-00352-w" TargetMode="External"/><Relationship Id="rId12" Type="http://schemas.openxmlformats.org/officeDocument/2006/relationships/hyperlink" Target="https://www.jco-online.com/archive/2011/08/433-overview-anatomical-guidelines-for-miniscrew-insertion-palatal-sites/" TargetMode="External"/><Relationship Id="rId17" Type="http://schemas.openxmlformats.org/officeDocument/2006/relationships/hyperlink" Target="https://www.linkedin.com/posts/global-dental-conferences_adoh2022-globaldentalconferences-orthodontist-activity-6970789629557956608-EHeF/?utm_source=share&amp;utm_medium=member_desktop"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rive.google.com/file/d/1pvVZhwBUETejIDBQQ8NJS66LmH24joGu/view?usp=sharing" TargetMode="External"/><Relationship Id="rId20" Type="http://schemas.openxmlformats.org/officeDocument/2006/relationships/hyperlink" Target="https://www.bsmu.by/files/f0132320fa4293e2754f9d87ab96715d/"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doi.org/10.4041/kjod.2019.49.2.106" TargetMode="External"/><Relationship Id="rId24"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s://drive.google.com/file/d/1oQOxer8qhUXq2Xt8QL_djsS6pD7FL9Ct/view?usp=sharing" TargetMode="External"/><Relationship Id="rId23" Type="http://schemas.openxmlformats.org/officeDocument/2006/relationships/hyperlink" Target="https://www.instagram.com/orthodontist_aiman_obeid/" TargetMode="External"/><Relationship Id="rId10" Type="http://schemas.openxmlformats.org/officeDocument/2006/relationships/hyperlink" Target="https://doi.org/10.1016/j.jdsr.2014.05.001" TargetMode="External"/><Relationship Id="rId19" Type="http://schemas.openxmlformats.org/officeDocument/2006/relationships/hyperlink" Target="https://www.instagram.com/p/CqN5TRvJ8r4/" TargetMode="External"/><Relationship Id="rId4" Type="http://schemas.openxmlformats.org/officeDocument/2006/relationships/settings" Target="settings.xml"/><Relationship Id="rId9" Type="http://schemas.openxmlformats.org/officeDocument/2006/relationships/hyperlink" Target="http://iaoi.pro/asset/files/ijoi_47_pdf_article/096_106.pdf" TargetMode="External"/><Relationship Id="rId14" Type="http://schemas.openxmlformats.org/officeDocument/2006/relationships/hyperlink" Target="https://www.facebook.com/orthodontistaimanobeid/posts/pfbid022n6B6cL4MiYFKhUAu8eZwj2ZJRy4EsJDE7nfJD1ZtuTLxdptyTHCUDKY5B2S6Uagl" TargetMode="External"/><Relationship Id="rId22" Type="http://schemas.openxmlformats.org/officeDocument/2006/relationships/hyperlink" Target="https://www.facebook.com/orthodontistaimanobe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4D60A-EDEA-4294-A8E6-7129022B0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3</Pages>
  <Words>994</Words>
  <Characters>5670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Aiman Obeid</dc:creator>
  <cp:keywords/>
  <dc:description/>
  <cp:lastModifiedBy>Aiman Obeid</cp:lastModifiedBy>
  <cp:revision>15</cp:revision>
  <dcterms:created xsi:type="dcterms:W3CDTF">2022-01-10T13:33:00Z</dcterms:created>
  <dcterms:modified xsi:type="dcterms:W3CDTF">2023-06-02T11:08:00Z</dcterms:modified>
</cp:coreProperties>
</file>