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BBD" w:rsidRPr="00D95706" w:rsidRDefault="00764BBD" w:rsidP="00764BBD">
      <w:pPr>
        <w:autoSpaceDE w:val="0"/>
        <w:autoSpaceDN w:val="0"/>
        <w:bidi w:val="0"/>
        <w:adjustRightInd w:val="0"/>
        <w:spacing w:after="0" w:line="360" w:lineRule="auto"/>
        <w:jc w:val="center"/>
        <w:rPr>
          <w:rFonts w:asciiTheme="majorBidi" w:hAnsiTheme="majorBidi" w:cstheme="majorBidi"/>
          <w:b/>
          <w:bCs/>
          <w:sz w:val="28"/>
          <w:szCs w:val="28"/>
        </w:rPr>
      </w:pPr>
      <w:r w:rsidRPr="00D95706">
        <w:rPr>
          <w:rFonts w:asciiTheme="majorBidi" w:hAnsiTheme="majorBidi" w:cstheme="majorBidi"/>
          <w:b/>
          <w:bCs/>
          <w:sz w:val="28"/>
          <w:szCs w:val="28"/>
        </w:rPr>
        <w:t>Orthognathic Surgery Trending: Retrospective Ten Years Cases Analysis in Nineveh Province / Iraq (</w:t>
      </w:r>
      <w:r w:rsidRPr="00D95706">
        <w:rPr>
          <w:rFonts w:asciiTheme="majorBidi" w:eastAsia="Times New Roman" w:hAnsiTheme="majorBidi" w:cstheme="majorBidi"/>
          <w:b/>
          <w:bCs/>
          <w:sz w:val="28"/>
          <w:szCs w:val="28"/>
        </w:rPr>
        <w:t>Biometric Analytical study</w:t>
      </w:r>
      <w:r w:rsidRPr="00D95706">
        <w:rPr>
          <w:rFonts w:asciiTheme="majorBidi" w:hAnsiTheme="majorBidi" w:cstheme="majorBidi"/>
          <w:b/>
          <w:bCs/>
          <w:sz w:val="28"/>
          <w:szCs w:val="28"/>
        </w:rPr>
        <w:t>)</w:t>
      </w:r>
    </w:p>
    <w:p w:rsidR="00764BBD" w:rsidRPr="001A7126" w:rsidRDefault="00764BBD" w:rsidP="00764BBD">
      <w:pPr>
        <w:autoSpaceDE w:val="0"/>
        <w:autoSpaceDN w:val="0"/>
        <w:bidi w:val="0"/>
        <w:adjustRightInd w:val="0"/>
        <w:spacing w:after="0" w:line="480" w:lineRule="auto"/>
        <w:jc w:val="both"/>
        <w:rPr>
          <w:rFonts w:asciiTheme="majorBidi" w:hAnsiTheme="majorBidi" w:cstheme="majorBidi"/>
          <w:sz w:val="24"/>
          <w:szCs w:val="24"/>
        </w:rPr>
      </w:pPr>
    </w:p>
    <w:p w:rsidR="00764BBD" w:rsidRDefault="00764BBD" w:rsidP="00764BBD">
      <w:pPr>
        <w:autoSpaceDE w:val="0"/>
        <w:autoSpaceDN w:val="0"/>
        <w:bidi w:val="0"/>
        <w:adjustRightInd w:val="0"/>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 xml:space="preserve">Running Title: Analysis of Orthognathic Cases in Mosul City </w:t>
      </w:r>
    </w:p>
    <w:p w:rsidR="00764BBD" w:rsidRPr="00D95706" w:rsidRDefault="00764BBD" w:rsidP="00764BBD">
      <w:pPr>
        <w:autoSpaceDE w:val="0"/>
        <w:autoSpaceDN w:val="0"/>
        <w:bidi w:val="0"/>
        <w:adjustRightInd w:val="0"/>
        <w:spacing w:after="0" w:line="480" w:lineRule="auto"/>
        <w:jc w:val="both"/>
        <w:rPr>
          <w:rFonts w:asciiTheme="majorBidi" w:hAnsiTheme="majorBidi" w:cstheme="majorBidi"/>
          <w:b/>
          <w:bCs/>
          <w:sz w:val="24"/>
          <w:szCs w:val="24"/>
        </w:rPr>
      </w:pPr>
      <w:r w:rsidRPr="00D95706">
        <w:rPr>
          <w:rFonts w:asciiTheme="majorBidi" w:hAnsiTheme="majorBidi" w:cstheme="majorBidi"/>
          <w:b/>
          <w:bCs/>
          <w:sz w:val="24"/>
          <w:szCs w:val="24"/>
        </w:rPr>
        <w:t>Abstract</w:t>
      </w:r>
    </w:p>
    <w:p w:rsidR="00764BBD" w:rsidRDefault="00764BBD" w:rsidP="00764BBD">
      <w:pPr>
        <w:bidi w:val="0"/>
        <w:spacing w:before="30" w:after="75" w:line="480" w:lineRule="auto"/>
        <w:jc w:val="both"/>
        <w:textAlignment w:val="baseline"/>
        <w:rPr>
          <w:rFonts w:asciiTheme="majorBidi" w:eastAsia="Times New Roman" w:hAnsiTheme="majorBidi" w:cstheme="majorBidi"/>
          <w:sz w:val="24"/>
          <w:szCs w:val="24"/>
        </w:rPr>
      </w:pPr>
      <w:r w:rsidRPr="001A7126">
        <w:rPr>
          <w:rFonts w:asciiTheme="majorBidi" w:hAnsiTheme="majorBidi" w:cstheme="majorBidi"/>
          <w:sz w:val="24"/>
          <w:szCs w:val="24"/>
          <w:lang w:bidi="ar-IQ"/>
        </w:rPr>
        <w:t xml:space="preserve">Aim: </w:t>
      </w:r>
      <w:r w:rsidRPr="001A7126">
        <w:rPr>
          <w:rFonts w:asciiTheme="majorBidi" w:hAnsiTheme="majorBidi" w:cstheme="majorBidi"/>
          <w:sz w:val="24"/>
          <w:szCs w:val="24"/>
        </w:rPr>
        <w:t>The study aimed at analyzing patient's case sheets in regard to the incidence of skeletal discrepancy present in cases and its relation with the demographic profile of the sample. All these chronicled for more than 10 years periods.</w:t>
      </w:r>
      <w:r>
        <w:rPr>
          <w:rFonts w:asciiTheme="majorBidi" w:eastAsia="Times New Roman" w:hAnsiTheme="majorBidi" w:cstheme="majorBidi"/>
          <w:sz w:val="24"/>
          <w:szCs w:val="24"/>
        </w:rPr>
        <w:t xml:space="preserve"> </w:t>
      </w:r>
    </w:p>
    <w:p w:rsidR="00764BBD" w:rsidRPr="001A7126" w:rsidRDefault="00764BBD" w:rsidP="00764BBD">
      <w:pPr>
        <w:bidi w:val="0"/>
        <w:spacing w:before="30" w:after="75" w:line="480" w:lineRule="auto"/>
        <w:jc w:val="both"/>
        <w:textAlignment w:val="baseline"/>
        <w:rPr>
          <w:rFonts w:asciiTheme="majorBidi" w:eastAsia="Times New Roman" w:hAnsiTheme="majorBidi" w:cstheme="majorBidi"/>
          <w:sz w:val="24"/>
          <w:szCs w:val="24"/>
        </w:rPr>
      </w:pPr>
      <w:r w:rsidRPr="001A7126">
        <w:rPr>
          <w:rFonts w:asciiTheme="majorBidi" w:eastAsia="Times New Roman" w:hAnsiTheme="majorBidi" w:cstheme="majorBidi"/>
          <w:sz w:val="24"/>
          <w:szCs w:val="24"/>
        </w:rPr>
        <w:t xml:space="preserve">Material and Methods: Retrospective study analysis of the orthognathic cases sheets for more than 10 years period. Total numbers of patients are </w:t>
      </w:r>
      <w:r w:rsidRPr="001A7126">
        <w:rPr>
          <w:rFonts w:asciiTheme="majorBidi" w:hAnsiTheme="majorBidi" w:cstheme="majorBidi"/>
          <w:sz w:val="24"/>
          <w:szCs w:val="24"/>
          <w:lang w:bidi="ar-IQ"/>
        </w:rPr>
        <w:t>678</w:t>
      </w:r>
      <w:r w:rsidRPr="001A7126">
        <w:rPr>
          <w:rFonts w:asciiTheme="majorBidi" w:eastAsia="Times New Roman" w:hAnsiTheme="majorBidi" w:cstheme="majorBidi"/>
          <w:sz w:val="24"/>
          <w:szCs w:val="24"/>
        </w:rPr>
        <w:t>. Patient's case sheet already prepared by the Multi-Disciplinary Team Orthognathic Surgery Clinic in Al-Salam Teaching Hospital which is the only authorised committee in Nineveh Health Directorate. The case sheet of each patient analysed.</w:t>
      </w:r>
    </w:p>
    <w:p w:rsidR="00764BBD" w:rsidRPr="001A7126" w:rsidRDefault="00764BBD" w:rsidP="00764BBD">
      <w:pPr>
        <w:bidi w:val="0"/>
        <w:spacing w:before="30" w:after="75" w:line="480" w:lineRule="auto"/>
        <w:jc w:val="both"/>
        <w:textAlignment w:val="baseline"/>
        <w:rPr>
          <w:rFonts w:asciiTheme="majorBidi" w:eastAsia="Times New Roman" w:hAnsiTheme="majorBidi" w:cstheme="majorBidi"/>
          <w:sz w:val="24"/>
          <w:szCs w:val="24"/>
        </w:rPr>
      </w:pPr>
      <w:r w:rsidRPr="001A7126">
        <w:rPr>
          <w:rFonts w:asciiTheme="majorBidi" w:eastAsia="Times New Roman" w:hAnsiTheme="majorBidi" w:cstheme="majorBidi"/>
          <w:sz w:val="24"/>
          <w:szCs w:val="24"/>
        </w:rPr>
        <w:t xml:space="preserve">Result: Highest age percentage is between (18 – 27 years / 76 %). Angle Class III cases are the uppermost cases (36 %) from the total. Significant p value is clear at level ≤ 0.05 and ≤ 0.01 as correlation between surgery type and discrepancy in anterior segmental osteotomies (upper and lower) which performed in Bi-Maxillary Protrusion cases and Angle Class II cases (0.01**). Similarly anterior segmental osteotomies (upper jaw only) which indicated in both open bite and Angle Class II cases documented as statistically significant p value (0.02*). Significant correlation is shown in all variables with the disharmony or facial discrepancies. </w:t>
      </w:r>
    </w:p>
    <w:p w:rsidR="00503E1F" w:rsidRDefault="00764BBD" w:rsidP="00764BBD">
      <w:pPr>
        <w:bidi w:val="0"/>
        <w:spacing w:before="30" w:after="75" w:line="480" w:lineRule="auto"/>
        <w:jc w:val="both"/>
        <w:textAlignment w:val="baseline"/>
        <w:rPr>
          <w:rFonts w:hint="cs"/>
          <w:lang w:bidi="ar-IQ"/>
        </w:rPr>
      </w:pPr>
      <w:r w:rsidRPr="001A7126">
        <w:rPr>
          <w:rFonts w:asciiTheme="majorBidi" w:hAnsiTheme="majorBidi" w:cstheme="majorBidi"/>
          <w:sz w:val="24"/>
          <w:szCs w:val="24"/>
        </w:rPr>
        <w:t>Conclusion: This study documents that patients with skeletal Class III accounted for the largest percentage (64%) in the study group. The bimaxillary surgery was the most frequently performed surgery (49.2%) and there was statistically more frequent for skeletal Class III, and one jaw surgeries for skeletal Class II</w:t>
      </w:r>
      <w:r w:rsidRPr="001A7126">
        <w:rPr>
          <w:rFonts w:asciiTheme="majorBidi" w:eastAsia="Times New Roman" w:hAnsiTheme="majorBidi" w:cstheme="majorBidi"/>
          <w:sz w:val="24"/>
          <w:szCs w:val="24"/>
        </w:rPr>
        <w:t xml:space="preserve">  </w:t>
      </w:r>
      <w:bookmarkStart w:id="0" w:name="_GoBack"/>
      <w:bookmarkEnd w:id="0"/>
    </w:p>
    <w:sectPr w:rsidR="00503E1F" w:rsidSect="001E3C3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BBD"/>
    <w:rsid w:val="001E3C3D"/>
    <w:rsid w:val="00503E1F"/>
    <w:rsid w:val="00764B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BBD"/>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BBD"/>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1526</Characters>
  <Application>Microsoft Office Word</Application>
  <DocSecurity>0</DocSecurity>
  <Lines>12</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2023-01-20T16:59:00Z</dcterms:created>
  <dcterms:modified xsi:type="dcterms:W3CDTF">2023-01-20T16:59:00Z</dcterms:modified>
</cp:coreProperties>
</file>