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6D46" w:rsidRPr="00151C1B" w:rsidRDefault="00406D46" w:rsidP="00406D46">
      <w:pPr>
        <w:spacing w:before="400"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en-GB"/>
        </w:rPr>
      </w:pPr>
      <w:r w:rsidRPr="00151C1B">
        <w:rPr>
          <w:rFonts w:ascii="Arial" w:eastAsia="Times New Roman" w:hAnsi="Arial" w:cs="Arial"/>
          <w:b/>
          <w:color w:val="000000"/>
          <w:sz w:val="24"/>
          <w:szCs w:val="24"/>
          <w:lang w:eastAsia="en-GB"/>
        </w:rPr>
        <w:t xml:space="preserve">Submerged-root technique: </w:t>
      </w:r>
    </w:p>
    <w:p w:rsidR="00406D46" w:rsidRPr="00151C1B" w:rsidRDefault="00406D46" w:rsidP="00406D46">
      <w:pPr>
        <w:spacing w:before="40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151C1B">
        <w:rPr>
          <w:rFonts w:ascii="Arial" w:eastAsia="Times New Roman" w:hAnsi="Arial" w:cs="Arial"/>
          <w:b/>
          <w:color w:val="000000"/>
          <w:sz w:val="24"/>
          <w:szCs w:val="24"/>
          <w:lang w:eastAsia="en-GB"/>
        </w:rPr>
        <w:t>A controversial alternative to prevent alveolar bone resorption</w:t>
      </w:r>
    </w:p>
    <w:p w:rsidR="00406D46" w:rsidRDefault="00406D46" w:rsidP="00406D46">
      <w:pPr>
        <w:spacing w:before="400" w:after="0" w:line="240" w:lineRule="auto"/>
        <w:ind w:left="-15"/>
        <w:rPr>
          <w:rFonts w:ascii="Arial" w:eastAsia="Times New Roman" w:hAnsi="Arial" w:cs="Arial"/>
          <w:color w:val="000000"/>
          <w:sz w:val="24"/>
          <w:szCs w:val="24"/>
          <w:lang w:val="de-DE" w:eastAsia="en-GB"/>
        </w:rPr>
      </w:pPr>
      <w:r w:rsidRPr="0013477E"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en-GB"/>
        </w:rPr>
        <w:t xml:space="preserve">                       </w:t>
      </w:r>
      <w:r w:rsidRPr="0064652D">
        <w:rPr>
          <w:rFonts w:ascii="Arial" w:eastAsia="Times New Roman" w:hAnsi="Arial" w:cs="Arial"/>
          <w:b/>
          <w:bCs/>
          <w:color w:val="000000"/>
          <w:sz w:val="24"/>
          <w:szCs w:val="24"/>
          <w:lang w:val="de-DE" w:eastAsia="en-GB"/>
        </w:rPr>
        <w:t>Navarro, C</w:t>
      </w:r>
      <w:r w:rsidRPr="0064652D">
        <w:rPr>
          <w:rFonts w:ascii="Arial" w:eastAsia="Times New Roman" w:hAnsi="Arial" w:cs="Arial"/>
          <w:b/>
          <w:bCs/>
          <w:color w:val="000000"/>
          <w:sz w:val="14"/>
          <w:szCs w:val="14"/>
          <w:vertAlign w:val="superscript"/>
          <w:lang w:val="de-DE" w:eastAsia="en-GB"/>
        </w:rPr>
        <w:t>1</w:t>
      </w:r>
      <w:r w:rsidRPr="0064652D">
        <w:rPr>
          <w:rFonts w:ascii="Arial" w:eastAsia="Times New Roman" w:hAnsi="Arial" w:cs="Arial"/>
          <w:color w:val="000000"/>
          <w:sz w:val="24"/>
          <w:szCs w:val="24"/>
          <w:lang w:val="de-DE" w:eastAsia="en-GB"/>
        </w:rPr>
        <w:t>, Vattes, G</w:t>
      </w:r>
      <w:r w:rsidRPr="0064652D">
        <w:rPr>
          <w:rFonts w:ascii="Arial" w:eastAsia="Times New Roman" w:hAnsi="Arial" w:cs="Arial"/>
          <w:color w:val="000000"/>
          <w:sz w:val="14"/>
          <w:szCs w:val="14"/>
          <w:vertAlign w:val="superscript"/>
          <w:lang w:val="de-DE" w:eastAsia="en-GB"/>
        </w:rPr>
        <w:t>1</w:t>
      </w:r>
      <w:r w:rsidRPr="0064652D">
        <w:rPr>
          <w:rFonts w:ascii="Arial" w:eastAsia="Times New Roman" w:hAnsi="Arial" w:cs="Arial"/>
          <w:color w:val="000000"/>
          <w:sz w:val="24"/>
          <w:szCs w:val="24"/>
          <w:lang w:val="de-DE" w:eastAsia="en-GB"/>
        </w:rPr>
        <w:t>, Wiedemann, T</w:t>
      </w:r>
      <w:r w:rsidRPr="0064652D">
        <w:rPr>
          <w:rFonts w:ascii="Arial" w:eastAsia="Times New Roman" w:hAnsi="Arial" w:cs="Arial"/>
          <w:color w:val="000000"/>
          <w:sz w:val="14"/>
          <w:szCs w:val="14"/>
          <w:vertAlign w:val="superscript"/>
          <w:lang w:val="de-DE" w:eastAsia="en-GB"/>
        </w:rPr>
        <w:t>1</w:t>
      </w:r>
      <w:r w:rsidRPr="0064652D">
        <w:rPr>
          <w:rFonts w:ascii="Arial" w:eastAsia="Times New Roman" w:hAnsi="Arial" w:cs="Arial"/>
          <w:color w:val="000000"/>
          <w:sz w:val="24"/>
          <w:szCs w:val="24"/>
          <w:lang w:val="de-DE" w:eastAsia="en-GB"/>
        </w:rPr>
        <w:t>.</w:t>
      </w:r>
    </w:p>
    <w:p w:rsidR="00406D46" w:rsidRPr="0064652D" w:rsidRDefault="00406D46" w:rsidP="00406D46">
      <w:pPr>
        <w:spacing w:before="400" w:after="0" w:line="240" w:lineRule="auto"/>
        <w:ind w:left="-15"/>
        <w:rPr>
          <w:rFonts w:ascii="Arial" w:eastAsia="Times New Roman" w:hAnsi="Arial" w:cs="Arial"/>
          <w:color w:val="000000"/>
          <w:sz w:val="24"/>
          <w:szCs w:val="24"/>
          <w:lang w:val="de-DE" w:eastAsia="en-GB"/>
        </w:rPr>
      </w:pPr>
    </w:p>
    <w:p w:rsidR="00406D46" w:rsidRPr="0064652D" w:rsidRDefault="00406D46" w:rsidP="00406D46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en-GB"/>
        </w:rPr>
      </w:pPr>
      <w:r w:rsidRPr="0064652D">
        <w:rPr>
          <w:rFonts w:ascii="Arial" w:eastAsia="Times New Roman" w:hAnsi="Arial" w:cs="Arial"/>
          <w:color w:val="000000"/>
          <w:sz w:val="21"/>
          <w:szCs w:val="21"/>
          <w:lang w:eastAsia="en-GB"/>
        </w:rPr>
        <w:t>Department of Oral and Maxillofacial Surgery, New York University College of Dentistry</w:t>
      </w:r>
      <w:r w:rsidRPr="0064652D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en-GB"/>
        </w:rPr>
        <w:t>1</w:t>
      </w:r>
    </w:p>
    <w:p w:rsidR="00406D46" w:rsidRPr="0064652D" w:rsidRDefault="00406D46" w:rsidP="00406D46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en-GB"/>
        </w:rPr>
      </w:pPr>
    </w:p>
    <w:p w:rsidR="00406D46" w:rsidRPr="00151C1B" w:rsidRDefault="00406D46" w:rsidP="00406D46">
      <w:pPr>
        <w:spacing w:before="200" w:after="0" w:line="240" w:lineRule="auto"/>
        <w:ind w:left="-15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51C1B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I</w:t>
      </w:r>
      <w:r>
        <w:rPr>
          <w:rFonts w:ascii="Arial" w:eastAsia="Times New Roman" w:hAnsi="Arial" w:cs="Arial"/>
          <w:color w:val="000000"/>
          <w:sz w:val="24"/>
          <w:szCs w:val="24"/>
          <w:lang w:eastAsia="en-GB"/>
        </w:rPr>
        <w:t>NTRODUCTION</w:t>
      </w:r>
    </w:p>
    <w:p w:rsidR="00406D46" w:rsidRPr="008F54DE" w:rsidRDefault="00406D46" w:rsidP="00406D46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151C1B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Multiple reports</w:t>
      </w:r>
      <w:r w:rsidRPr="008F54DE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val="en-US"/>
        </w:rPr>
        <w:t xml:space="preserve"> indicate that </w:t>
      </w:r>
      <w:r w:rsidRPr="00151C1B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val="en-US"/>
        </w:rPr>
        <w:t>the</w:t>
      </w:r>
      <w:r w:rsidRPr="008F54DE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val="en-US"/>
        </w:rPr>
        <w:t xml:space="preserve"> root submergence technique</w:t>
      </w: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val="en-US"/>
        </w:rPr>
        <w:t xml:space="preserve"> (RST)</w:t>
      </w:r>
      <w:r w:rsidRPr="008F54DE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val="en-US"/>
        </w:rPr>
        <w:t xml:space="preserve"> can be successfully applied in </w:t>
      </w:r>
      <w:proofErr w:type="spellStart"/>
      <w:r w:rsidRPr="008F54DE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val="en-US"/>
        </w:rPr>
        <w:t>pontic</w:t>
      </w:r>
      <w:proofErr w:type="spellEnd"/>
      <w:r w:rsidRPr="008F54DE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val="en-US"/>
        </w:rPr>
        <w:t xml:space="preserve"> site development with fixed </w:t>
      </w:r>
      <w:r w:rsidRPr="00151C1B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val="en-US"/>
        </w:rPr>
        <w:t>implant supported</w:t>
      </w:r>
      <w:r w:rsidRPr="008F54DE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val="en-US"/>
        </w:rPr>
        <w:t>restorations</w:t>
      </w:r>
      <w:r w:rsidRPr="008F54DE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val="en-US"/>
        </w:rPr>
        <w:t>, especially in the maxillary esthetic zone</w:t>
      </w:r>
      <w:r w:rsidRPr="00151C1B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val="en-US"/>
        </w:rPr>
        <w:t xml:space="preserve">, as an alternative to </w:t>
      </w: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val="en-US"/>
        </w:rPr>
        <w:t>other socket preservation modalities</w:t>
      </w:r>
      <w:r w:rsidRPr="00151C1B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val="en-US"/>
        </w:rPr>
        <w:t xml:space="preserve">. </w:t>
      </w:r>
    </w:p>
    <w:p w:rsidR="00406D46" w:rsidRPr="00151C1B" w:rsidRDefault="00406D46" w:rsidP="00406D46">
      <w:pPr>
        <w:rPr>
          <w:rFonts w:ascii="Arial" w:eastAsia="Times New Roman" w:hAnsi="Arial" w:cs="Arial"/>
          <w:sz w:val="24"/>
          <w:szCs w:val="24"/>
          <w:lang w:val="en-US"/>
        </w:rPr>
      </w:pPr>
      <w:r w:rsidRPr="00151C1B">
        <w:rPr>
          <w:rFonts w:ascii="Arial" w:eastAsia="Times New Roman" w:hAnsi="Arial" w:cs="Arial"/>
          <w:color w:val="000000"/>
          <w:sz w:val="24"/>
          <w:szCs w:val="24"/>
          <w:lang w:eastAsia="en-GB"/>
        </w:rPr>
        <w:br/>
      </w:r>
      <w:r>
        <w:rPr>
          <w:rFonts w:ascii="Arial" w:eastAsia="Times New Roman" w:hAnsi="Arial" w:cs="Arial"/>
          <w:color w:val="000000"/>
          <w:sz w:val="24"/>
          <w:szCs w:val="24"/>
          <w:lang w:eastAsia="en-GB"/>
        </w:rPr>
        <w:t>OBJECTIVE</w:t>
      </w:r>
      <w:r w:rsidRPr="00151C1B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r w:rsidRPr="00151C1B">
        <w:rPr>
          <w:rFonts w:ascii="Arial" w:eastAsia="Times New Roman" w:hAnsi="Arial" w:cs="Arial"/>
          <w:color w:val="000000"/>
          <w:sz w:val="24"/>
          <w:szCs w:val="24"/>
          <w:lang w:eastAsia="en-GB"/>
        </w:rPr>
        <w:br/>
      </w:r>
      <w:proofErr w:type="gramStart"/>
      <w:r w:rsidRPr="00151C1B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The</w:t>
      </w:r>
      <w:proofErr w:type="gramEnd"/>
      <w:r w:rsidRPr="00151C1B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en-GB"/>
        </w:rPr>
        <w:t>aim</w:t>
      </w:r>
      <w:r w:rsidRPr="00151C1B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of this study is to</w:t>
      </w:r>
      <w:r w:rsidRPr="00151C1B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val="en-US"/>
        </w:rPr>
        <w:t xml:space="preserve"> discuss the benefits and limitations of the </w:t>
      </w: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val="en-US"/>
        </w:rPr>
        <w:t xml:space="preserve">RST </w:t>
      </w:r>
      <w:r w:rsidRPr="00151C1B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val="en-US"/>
        </w:rPr>
        <w:t xml:space="preserve">on preserving the periodontal tissue at </w:t>
      </w: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val="en-US"/>
        </w:rPr>
        <w:t>a</w:t>
      </w:r>
      <w:r w:rsidRPr="00151C1B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151C1B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val="en-US"/>
        </w:rPr>
        <w:t>pontic</w:t>
      </w:r>
      <w:proofErr w:type="spellEnd"/>
      <w:r w:rsidRPr="00151C1B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val="en-US"/>
        </w:rPr>
        <w:t xml:space="preserve"> site of fixed implant-supported </w:t>
      </w: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val="en-US"/>
        </w:rPr>
        <w:t>restorations</w:t>
      </w:r>
      <w:r w:rsidRPr="00151C1B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val="en-US"/>
        </w:rPr>
        <w:t xml:space="preserve">.  </w:t>
      </w:r>
    </w:p>
    <w:p w:rsidR="00406D46" w:rsidRPr="00151C1B" w:rsidRDefault="00406D46" w:rsidP="00406D46">
      <w:pPr>
        <w:spacing w:before="200" w:after="0" w:line="240" w:lineRule="auto"/>
        <w:ind w:left="-15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51C1B">
        <w:rPr>
          <w:rFonts w:ascii="Arial" w:eastAsia="Times New Roman" w:hAnsi="Arial" w:cs="Arial"/>
          <w:color w:val="000000"/>
          <w:sz w:val="24"/>
          <w:szCs w:val="24"/>
          <w:lang w:eastAsia="en-GB"/>
        </w:rPr>
        <w:br/>
        <w:t>MATERIAL AND METHODS</w:t>
      </w:r>
      <w:r w:rsidRPr="00151C1B">
        <w:rPr>
          <w:rFonts w:ascii="Arial" w:eastAsia="Times New Roman" w:hAnsi="Arial" w:cs="Arial"/>
          <w:color w:val="000000"/>
          <w:sz w:val="24"/>
          <w:szCs w:val="24"/>
          <w:lang w:eastAsia="en-GB"/>
        </w:rPr>
        <w:br/>
      </w:r>
      <w:proofErr w:type="spellStart"/>
      <w:r w:rsidRPr="00151C1B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Pubmed</w:t>
      </w:r>
      <w:proofErr w:type="spellEnd"/>
      <w:r w:rsidRPr="00151C1B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and Google scholar were utilized in search of relevant literature. Key words used were: ``Submerged-root</w:t>
      </w:r>
      <w:r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r w:rsidRPr="00151C1B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AND Technique´´, ``Ridge preservation´´, ``Bone preserva</w:t>
      </w:r>
      <w:r>
        <w:rPr>
          <w:rFonts w:ascii="Arial" w:eastAsia="Times New Roman" w:hAnsi="Arial" w:cs="Arial"/>
          <w:color w:val="000000"/>
          <w:sz w:val="24"/>
          <w:szCs w:val="24"/>
          <w:lang w:eastAsia="en-GB"/>
        </w:rPr>
        <w:t>tion AND Implant´´, ``root´´. 19</w:t>
      </w:r>
      <w:bookmarkStart w:id="0" w:name="_GoBack"/>
      <w:bookmarkEnd w:id="0"/>
      <w:r w:rsidRPr="00151C1B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articles were selected.</w:t>
      </w:r>
      <w:r w:rsidRPr="00151C1B">
        <w:rPr>
          <w:rFonts w:ascii="Arial" w:eastAsia="Times New Roman" w:hAnsi="Arial" w:cs="Arial"/>
          <w:color w:val="000000"/>
          <w:sz w:val="24"/>
          <w:szCs w:val="24"/>
          <w:lang w:eastAsia="en-GB"/>
        </w:rPr>
        <w:br/>
      </w:r>
      <w:r w:rsidRPr="00151C1B">
        <w:rPr>
          <w:rFonts w:ascii="Arial" w:eastAsia="Times New Roman" w:hAnsi="Arial" w:cs="Arial"/>
          <w:color w:val="000000"/>
          <w:sz w:val="24"/>
          <w:szCs w:val="24"/>
          <w:lang w:eastAsia="en-GB"/>
        </w:rPr>
        <w:br/>
        <w:t>RESULTS</w:t>
      </w:r>
    </w:p>
    <w:p w:rsidR="00406D46" w:rsidRPr="00151C1B" w:rsidRDefault="00406D46" w:rsidP="00406D46">
      <w:pPr>
        <w:rPr>
          <w:rFonts w:ascii="Arial" w:eastAsia="Times New Roman" w:hAnsi="Arial" w:cs="Arial"/>
          <w:sz w:val="24"/>
          <w:szCs w:val="24"/>
          <w:lang w:val="en-US"/>
        </w:rPr>
      </w:pPr>
      <w:r w:rsidRPr="00151C1B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val="en-US"/>
        </w:rPr>
        <w:t>S</w:t>
      </w:r>
      <w:r w:rsidRPr="008F54DE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val="en-US"/>
        </w:rPr>
        <w:t xml:space="preserve">ubmerged roots </w:t>
      </w:r>
      <w:r w:rsidRPr="00151C1B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val="en-US"/>
        </w:rPr>
        <w:t xml:space="preserve">can </w:t>
      </w:r>
      <w:r w:rsidRPr="008F54DE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val="en-US"/>
        </w:rPr>
        <w:t>preserve bone and soft tissue</w:t>
      </w:r>
      <w:r w:rsidRPr="00151C1B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val="en-US"/>
        </w:rPr>
        <w:t xml:space="preserve"> so that </w:t>
      </w:r>
      <w:r w:rsidRPr="008F54DE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val="en-US"/>
        </w:rPr>
        <w:t xml:space="preserve">the gingival contour of </w:t>
      </w:r>
      <w:r w:rsidRPr="00151C1B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val="en-US"/>
        </w:rPr>
        <w:t>a</w:t>
      </w:r>
      <w:r w:rsidRPr="008F54DE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8F54DE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val="en-US"/>
        </w:rPr>
        <w:t>pontic</w:t>
      </w:r>
      <w:proofErr w:type="spellEnd"/>
      <w:r w:rsidRPr="008F54DE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val="en-US"/>
        </w:rPr>
        <w:t xml:space="preserve"> site</w:t>
      </w:r>
      <w:r w:rsidRPr="00151C1B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val="en-US"/>
        </w:rPr>
        <w:t xml:space="preserve"> is</w:t>
      </w:r>
      <w:r w:rsidRPr="008F54DE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val="en-US"/>
        </w:rPr>
        <w:t xml:space="preserve"> in harmony the adjacent abutment </w:t>
      </w: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val="en-US"/>
        </w:rPr>
        <w:t>implants or teeth</w:t>
      </w:r>
      <w:r w:rsidRPr="008F54DE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val="en-US"/>
        </w:rPr>
        <w:t>.</w:t>
      </w:r>
      <w:r w:rsidRPr="00151C1B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val="en-US"/>
        </w:rPr>
        <w:t xml:space="preserve"> Non-infected vital or </w:t>
      </w:r>
      <w:proofErr w:type="spellStart"/>
      <w:r w:rsidRPr="00151C1B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val="en-US"/>
        </w:rPr>
        <w:t>endodontically</w:t>
      </w:r>
      <w:proofErr w:type="spellEnd"/>
      <w:r w:rsidRPr="00151C1B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val="en-US"/>
        </w:rPr>
        <w:t xml:space="preserve"> treated roots reduced at the level of the bone crest or below the crest and completely submerged within the alveolus qualify and are able to effectively preserve the residual ridge</w:t>
      </w: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val="en-US"/>
        </w:rPr>
        <w:t xml:space="preserve"> even</w:t>
      </w:r>
      <w:r w:rsidRPr="00151C1B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val="en-US"/>
        </w:rPr>
        <w:t xml:space="preserve"> in implant-supported </w:t>
      </w: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val="en-US"/>
        </w:rPr>
        <w:t>restorations</w:t>
      </w:r>
      <w:r w:rsidRPr="00151C1B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val="en-US"/>
        </w:rPr>
        <w:t>. However, periapical lesions, external root resorption</w:t>
      </w: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val="en-US"/>
        </w:rPr>
        <w:t xml:space="preserve">, gradual eruption and exposure </w:t>
      </w:r>
      <w:r w:rsidRPr="00151C1B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val="en-US"/>
        </w:rPr>
        <w:t>and root caries are critical complications which may affect adjacent implants and limit this pro</w:t>
      </w: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val="en-US"/>
        </w:rPr>
        <w:t>tocol</w:t>
      </w:r>
      <w:r w:rsidRPr="00151C1B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val="en-US"/>
        </w:rPr>
        <w:t xml:space="preserve"> in daily practice. </w:t>
      </w:r>
    </w:p>
    <w:p w:rsidR="00406D46" w:rsidRPr="00151C1B" w:rsidRDefault="00406D46" w:rsidP="00406D46">
      <w:pP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val="en-US"/>
        </w:rPr>
      </w:pPr>
    </w:p>
    <w:p w:rsidR="00406D46" w:rsidRPr="004E7CEF" w:rsidRDefault="00406D46" w:rsidP="00406D46">
      <w:pPr>
        <w:rPr>
          <w:rFonts w:ascii="Arial" w:eastAsia="Times New Roman" w:hAnsi="Arial" w:cs="Arial"/>
          <w:sz w:val="24"/>
          <w:szCs w:val="24"/>
          <w:lang w:val="en-US"/>
        </w:rPr>
      </w:pPr>
      <w:r w:rsidRPr="00151C1B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val="en-US"/>
        </w:rPr>
        <w:t>CONCLUSION</w:t>
      </w:r>
      <w:proofErr w:type="gramStart"/>
      <w:r w:rsidRPr="00151C1B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val="en-US"/>
        </w:rPr>
        <w:t>:</w:t>
      </w:r>
      <w:r>
        <w:rPr>
          <w:rFonts w:ascii="LegacySans" w:hAnsi="LegacySans"/>
          <w:sz w:val="20"/>
          <w:szCs w:val="20"/>
        </w:rPr>
        <w:t>.</w:t>
      </w:r>
      <w:proofErr w:type="gramEnd"/>
      <w:r>
        <w:rPr>
          <w:rFonts w:ascii="LegacySans" w:hAnsi="LegacySans"/>
          <w:sz w:val="20"/>
          <w:szCs w:val="20"/>
        </w:rPr>
        <w:t xml:space="preserve"> </w:t>
      </w:r>
    </w:p>
    <w:p w:rsidR="00406D46" w:rsidRDefault="00406D46" w:rsidP="00406D46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val="en-US"/>
        </w:rPr>
        <w:t xml:space="preserve">Several clinicians </w:t>
      </w:r>
      <w:r w:rsidRPr="00151C1B">
        <w:rPr>
          <w:rFonts w:ascii="Arial" w:eastAsia="Times New Roman" w:hAnsi="Arial" w:cs="Arial"/>
          <w:sz w:val="24"/>
          <w:szCs w:val="24"/>
          <w:lang w:val="en-US"/>
        </w:rPr>
        <w:t xml:space="preserve">consider </w:t>
      </w:r>
      <w:r>
        <w:rPr>
          <w:rFonts w:ascii="Arial" w:eastAsia="Times New Roman" w:hAnsi="Arial" w:cs="Arial"/>
          <w:sz w:val="24"/>
          <w:szCs w:val="24"/>
          <w:lang w:val="en-US"/>
        </w:rPr>
        <w:t>the RST</w:t>
      </w:r>
      <w:r w:rsidRPr="00151C1B">
        <w:rPr>
          <w:rFonts w:ascii="Arial" w:eastAsia="Times New Roman" w:hAnsi="Arial" w:cs="Arial"/>
          <w:sz w:val="24"/>
          <w:szCs w:val="24"/>
          <w:lang w:val="en-US"/>
        </w:rPr>
        <w:t xml:space="preserve"> as a potential treatment option</w:t>
      </w:r>
      <w:r>
        <w:rPr>
          <w:rFonts w:ascii="Arial" w:eastAsia="Times New Roman" w:hAnsi="Arial" w:cs="Arial"/>
          <w:sz w:val="24"/>
          <w:szCs w:val="24"/>
          <w:lang w:val="en-US"/>
        </w:rPr>
        <w:t xml:space="preserve"> in </w:t>
      </w:r>
      <w:proofErr w:type="spellStart"/>
      <w:r>
        <w:rPr>
          <w:rFonts w:ascii="Arial" w:eastAsia="Times New Roman" w:hAnsi="Arial" w:cs="Arial"/>
          <w:sz w:val="24"/>
          <w:szCs w:val="24"/>
          <w:lang w:val="en-US"/>
        </w:rPr>
        <w:t>pontic</w:t>
      </w:r>
      <w:proofErr w:type="spellEnd"/>
      <w:r>
        <w:rPr>
          <w:rFonts w:ascii="Arial" w:eastAsia="Times New Roman" w:hAnsi="Arial" w:cs="Arial"/>
          <w:sz w:val="24"/>
          <w:szCs w:val="24"/>
          <w:lang w:val="en-US"/>
        </w:rPr>
        <w:t xml:space="preserve"> site augmentation</w:t>
      </w:r>
      <w:r w:rsidRPr="00151C1B">
        <w:rPr>
          <w:rFonts w:ascii="Arial" w:eastAsia="Times New Roman" w:hAnsi="Arial" w:cs="Arial"/>
          <w:sz w:val="24"/>
          <w:szCs w:val="24"/>
          <w:lang w:val="en-US"/>
        </w:rPr>
        <w:t>.</w:t>
      </w:r>
      <w:r>
        <w:rPr>
          <w:rFonts w:ascii="Arial" w:eastAsia="Times New Roman" w:hAnsi="Arial" w:cs="Arial"/>
          <w:sz w:val="24"/>
          <w:szCs w:val="24"/>
          <w:lang w:val="en-US"/>
        </w:rPr>
        <w:t xml:space="preserve"> However, t</w:t>
      </w:r>
      <w:r w:rsidRPr="00151C1B">
        <w:rPr>
          <w:rFonts w:ascii="Arial" w:eastAsia="Times New Roman" w:hAnsi="Arial" w:cs="Arial"/>
          <w:sz w:val="24"/>
          <w:szCs w:val="24"/>
          <w:lang w:val="en-US"/>
        </w:rPr>
        <w:t xml:space="preserve">he </w:t>
      </w:r>
      <w:r w:rsidRPr="00151C1B">
        <w:rPr>
          <w:rFonts w:ascii="Arial" w:hAnsi="Arial" w:cs="Arial"/>
          <w:color w:val="000000"/>
          <w:sz w:val="24"/>
          <w:szCs w:val="24"/>
          <w:shd w:val="clear" w:color="auto" w:fill="FFFFFF"/>
        </w:rPr>
        <w:t>current data lack of higher level evidence for</w:t>
      </w:r>
      <w:r w:rsidRPr="00151C1B">
        <w:rPr>
          <w:rFonts w:ascii="Arial" w:eastAsia="Times New Roman" w:hAnsi="Arial" w:cs="Arial"/>
          <w:sz w:val="24"/>
          <w:szCs w:val="24"/>
        </w:rPr>
        <w:t xml:space="preserve"> reliable and predictable long-term outcome</w:t>
      </w:r>
      <w:r>
        <w:rPr>
          <w:rFonts w:ascii="Arial" w:eastAsia="Times New Roman" w:hAnsi="Arial" w:cs="Arial"/>
          <w:sz w:val="24"/>
          <w:szCs w:val="24"/>
        </w:rPr>
        <w:t>s</w:t>
      </w:r>
      <w:r w:rsidRPr="00151C1B">
        <w:rPr>
          <w:rFonts w:ascii="Arial" w:eastAsia="Times New Roman" w:hAnsi="Arial" w:cs="Arial"/>
          <w:sz w:val="24"/>
          <w:szCs w:val="24"/>
        </w:rPr>
        <w:t xml:space="preserve">. </w:t>
      </w:r>
    </w:p>
    <w:p w:rsidR="00406D46" w:rsidRPr="00607EB7" w:rsidRDefault="00406D46" w:rsidP="00406D46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151C1B">
        <w:rPr>
          <w:rFonts w:ascii="Arial" w:eastAsia="Times New Roman" w:hAnsi="Arial" w:cs="Arial"/>
          <w:sz w:val="24"/>
          <w:szCs w:val="24"/>
        </w:rPr>
        <w:t xml:space="preserve">Only </w:t>
      </w:r>
      <w:r w:rsidRPr="00151C1B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val="en-US"/>
        </w:rPr>
        <w:t>w</w:t>
      </w:r>
      <w:r w:rsidRPr="008F54DE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val="en-US"/>
        </w:rPr>
        <w:t xml:space="preserve">ith </w:t>
      </w: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val="en-US"/>
        </w:rPr>
        <w:t xml:space="preserve">high </w:t>
      </w:r>
      <w:r w:rsidRPr="008F54DE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val="en-US"/>
        </w:rPr>
        <w:t>caution</w:t>
      </w:r>
      <w:r w:rsidRPr="00151C1B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val="en-US"/>
        </w:rPr>
        <w:t xml:space="preserve"> and in strictly </w:t>
      </w:r>
      <w:r w:rsidRPr="00151C1B">
        <w:rPr>
          <w:rFonts w:ascii="Arial" w:eastAsia="Times New Roman" w:hAnsi="Arial" w:cs="Arial"/>
          <w:sz w:val="24"/>
          <w:szCs w:val="24"/>
        </w:rPr>
        <w:t>selected single cases</w:t>
      </w:r>
      <w:r w:rsidRPr="00151C1B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val="en-US"/>
        </w:rPr>
        <w:t xml:space="preserve">, </w:t>
      </w:r>
      <w:r w:rsidRPr="008F54DE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val="en-US"/>
        </w:rPr>
        <w:t xml:space="preserve">the root submergence technique </w:t>
      </w:r>
      <w:r w:rsidRPr="00151C1B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val="en-US"/>
        </w:rPr>
        <w:t>might</w:t>
      </w:r>
      <w:r w:rsidRPr="008F54DE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val="en-US"/>
        </w:rPr>
        <w:t xml:space="preserve"> serve as a</w:t>
      </w:r>
      <w:r w:rsidRPr="00151C1B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val="en-US"/>
        </w:rPr>
        <w:t>n alternative</w:t>
      </w:r>
      <w:r w:rsidRPr="008F54DE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val="en-US"/>
        </w:rPr>
        <w:t xml:space="preserve"> method of maintaining the alveolar ridge</w:t>
      </w: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val="en-US"/>
        </w:rPr>
        <w:t xml:space="preserve"> in </w:t>
      </w:r>
      <w:r w:rsidRPr="008F54DE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val="en-US"/>
        </w:rPr>
        <w:t xml:space="preserve">fixed </w:t>
      </w:r>
      <w:r w:rsidRPr="00151C1B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val="en-US"/>
        </w:rPr>
        <w:t>implant supported</w:t>
      </w:r>
      <w:r w:rsidRPr="008F54DE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val="en-US"/>
        </w:rPr>
        <w:t>restorations.</w:t>
      </w:r>
    </w:p>
    <w:p w:rsidR="001D7C3C" w:rsidRPr="00406D46" w:rsidRDefault="001D7C3C">
      <w:pPr>
        <w:rPr>
          <w:lang w:val="en-US"/>
        </w:rPr>
      </w:pPr>
    </w:p>
    <w:sectPr w:rsidR="001D7C3C" w:rsidRPr="00406D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egacySan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D46"/>
    <w:rsid w:val="000076C3"/>
    <w:rsid w:val="00011741"/>
    <w:rsid w:val="000234D8"/>
    <w:rsid w:val="000243A4"/>
    <w:rsid w:val="00031ED1"/>
    <w:rsid w:val="00046961"/>
    <w:rsid w:val="00050294"/>
    <w:rsid w:val="00056182"/>
    <w:rsid w:val="00063077"/>
    <w:rsid w:val="00077295"/>
    <w:rsid w:val="00084A0B"/>
    <w:rsid w:val="00091A2F"/>
    <w:rsid w:val="000B14EE"/>
    <w:rsid w:val="000B2B10"/>
    <w:rsid w:val="000C009F"/>
    <w:rsid w:val="000C3430"/>
    <w:rsid w:val="000C591E"/>
    <w:rsid w:val="000D2814"/>
    <w:rsid w:val="000D36B4"/>
    <w:rsid w:val="000E2B89"/>
    <w:rsid w:val="00107BD8"/>
    <w:rsid w:val="00124AD3"/>
    <w:rsid w:val="00133644"/>
    <w:rsid w:val="00141135"/>
    <w:rsid w:val="001464BA"/>
    <w:rsid w:val="001639CD"/>
    <w:rsid w:val="00163FC1"/>
    <w:rsid w:val="001648F9"/>
    <w:rsid w:val="00182988"/>
    <w:rsid w:val="001D765D"/>
    <w:rsid w:val="001D7C3C"/>
    <w:rsid w:val="001F51B4"/>
    <w:rsid w:val="00200D4F"/>
    <w:rsid w:val="00205DEB"/>
    <w:rsid w:val="0020672A"/>
    <w:rsid w:val="00221EE6"/>
    <w:rsid w:val="002249FA"/>
    <w:rsid w:val="00225BE9"/>
    <w:rsid w:val="00236B82"/>
    <w:rsid w:val="002370B2"/>
    <w:rsid w:val="00241AF0"/>
    <w:rsid w:val="00244C74"/>
    <w:rsid w:val="00247D4B"/>
    <w:rsid w:val="002509A4"/>
    <w:rsid w:val="00263082"/>
    <w:rsid w:val="00263268"/>
    <w:rsid w:val="00264BA9"/>
    <w:rsid w:val="00272924"/>
    <w:rsid w:val="00274F73"/>
    <w:rsid w:val="00292830"/>
    <w:rsid w:val="002A255E"/>
    <w:rsid w:val="002A666B"/>
    <w:rsid w:val="002B2C10"/>
    <w:rsid w:val="002C29FB"/>
    <w:rsid w:val="002C3907"/>
    <w:rsid w:val="002C72DD"/>
    <w:rsid w:val="002D4F37"/>
    <w:rsid w:val="002D4FAE"/>
    <w:rsid w:val="002F76C2"/>
    <w:rsid w:val="002F7DB3"/>
    <w:rsid w:val="0030257F"/>
    <w:rsid w:val="0030632A"/>
    <w:rsid w:val="0031562D"/>
    <w:rsid w:val="0032539F"/>
    <w:rsid w:val="00330DD2"/>
    <w:rsid w:val="003459A4"/>
    <w:rsid w:val="00346417"/>
    <w:rsid w:val="00360E95"/>
    <w:rsid w:val="0036418F"/>
    <w:rsid w:val="003718C3"/>
    <w:rsid w:val="00372C98"/>
    <w:rsid w:val="00376198"/>
    <w:rsid w:val="0038243F"/>
    <w:rsid w:val="0039532D"/>
    <w:rsid w:val="003B6F96"/>
    <w:rsid w:val="003E615E"/>
    <w:rsid w:val="00406D46"/>
    <w:rsid w:val="004133E9"/>
    <w:rsid w:val="004211FD"/>
    <w:rsid w:val="00434564"/>
    <w:rsid w:val="00446F68"/>
    <w:rsid w:val="00453BEB"/>
    <w:rsid w:val="00461808"/>
    <w:rsid w:val="00461F08"/>
    <w:rsid w:val="00477185"/>
    <w:rsid w:val="00480ACC"/>
    <w:rsid w:val="004827BE"/>
    <w:rsid w:val="004A1E48"/>
    <w:rsid w:val="004A23D8"/>
    <w:rsid w:val="004A642A"/>
    <w:rsid w:val="004E0A57"/>
    <w:rsid w:val="004E3804"/>
    <w:rsid w:val="004E69CC"/>
    <w:rsid w:val="004F0274"/>
    <w:rsid w:val="004F1015"/>
    <w:rsid w:val="005071CC"/>
    <w:rsid w:val="005169D7"/>
    <w:rsid w:val="00531A60"/>
    <w:rsid w:val="005364F8"/>
    <w:rsid w:val="00537C31"/>
    <w:rsid w:val="00540AE0"/>
    <w:rsid w:val="0054547A"/>
    <w:rsid w:val="005474C3"/>
    <w:rsid w:val="00565C14"/>
    <w:rsid w:val="00582B78"/>
    <w:rsid w:val="00587BFF"/>
    <w:rsid w:val="005D51E0"/>
    <w:rsid w:val="005D7577"/>
    <w:rsid w:val="005E6466"/>
    <w:rsid w:val="00610D68"/>
    <w:rsid w:val="00616D70"/>
    <w:rsid w:val="00621820"/>
    <w:rsid w:val="0063506C"/>
    <w:rsid w:val="006449A8"/>
    <w:rsid w:val="0064649D"/>
    <w:rsid w:val="00646759"/>
    <w:rsid w:val="006A36D3"/>
    <w:rsid w:val="006A5AC4"/>
    <w:rsid w:val="006B2F02"/>
    <w:rsid w:val="006C1752"/>
    <w:rsid w:val="006C49FD"/>
    <w:rsid w:val="006C5B54"/>
    <w:rsid w:val="006D26FE"/>
    <w:rsid w:val="006F1E52"/>
    <w:rsid w:val="00704C71"/>
    <w:rsid w:val="0072004C"/>
    <w:rsid w:val="0072256C"/>
    <w:rsid w:val="00740905"/>
    <w:rsid w:val="0075369B"/>
    <w:rsid w:val="00772D3B"/>
    <w:rsid w:val="007A5135"/>
    <w:rsid w:val="007A7C7A"/>
    <w:rsid w:val="007C0E14"/>
    <w:rsid w:val="007C0E77"/>
    <w:rsid w:val="007C209A"/>
    <w:rsid w:val="007D356E"/>
    <w:rsid w:val="008246F3"/>
    <w:rsid w:val="00830C49"/>
    <w:rsid w:val="00834688"/>
    <w:rsid w:val="00837A32"/>
    <w:rsid w:val="00860BC1"/>
    <w:rsid w:val="00862B44"/>
    <w:rsid w:val="00874459"/>
    <w:rsid w:val="00892651"/>
    <w:rsid w:val="0089737C"/>
    <w:rsid w:val="008B6D22"/>
    <w:rsid w:val="008C36B9"/>
    <w:rsid w:val="008C3812"/>
    <w:rsid w:val="008D338E"/>
    <w:rsid w:val="00917B30"/>
    <w:rsid w:val="00922415"/>
    <w:rsid w:val="00933F12"/>
    <w:rsid w:val="009419E7"/>
    <w:rsid w:val="00947CE2"/>
    <w:rsid w:val="00951BD3"/>
    <w:rsid w:val="0095411E"/>
    <w:rsid w:val="00960B5C"/>
    <w:rsid w:val="00960D42"/>
    <w:rsid w:val="00962492"/>
    <w:rsid w:val="0096485C"/>
    <w:rsid w:val="009C2FF1"/>
    <w:rsid w:val="009F5195"/>
    <w:rsid w:val="00A04FDB"/>
    <w:rsid w:val="00A05047"/>
    <w:rsid w:val="00A1030E"/>
    <w:rsid w:val="00A33370"/>
    <w:rsid w:val="00A436B2"/>
    <w:rsid w:val="00A46661"/>
    <w:rsid w:val="00A530CA"/>
    <w:rsid w:val="00A55174"/>
    <w:rsid w:val="00A551C0"/>
    <w:rsid w:val="00A608E9"/>
    <w:rsid w:val="00A62E5B"/>
    <w:rsid w:val="00A74D30"/>
    <w:rsid w:val="00A8072C"/>
    <w:rsid w:val="00A85D0C"/>
    <w:rsid w:val="00A94C68"/>
    <w:rsid w:val="00AA0AFF"/>
    <w:rsid w:val="00AD2B3B"/>
    <w:rsid w:val="00AF25D5"/>
    <w:rsid w:val="00AF60A3"/>
    <w:rsid w:val="00AF670E"/>
    <w:rsid w:val="00B001C4"/>
    <w:rsid w:val="00B22107"/>
    <w:rsid w:val="00B35FDF"/>
    <w:rsid w:val="00B35FED"/>
    <w:rsid w:val="00B40697"/>
    <w:rsid w:val="00B44B27"/>
    <w:rsid w:val="00B47D69"/>
    <w:rsid w:val="00B62B4D"/>
    <w:rsid w:val="00B71E2F"/>
    <w:rsid w:val="00B74702"/>
    <w:rsid w:val="00B74F7B"/>
    <w:rsid w:val="00B757C3"/>
    <w:rsid w:val="00B75AE3"/>
    <w:rsid w:val="00BA1B98"/>
    <w:rsid w:val="00BA7AA7"/>
    <w:rsid w:val="00BA7DB5"/>
    <w:rsid w:val="00BC1C3C"/>
    <w:rsid w:val="00BC4412"/>
    <w:rsid w:val="00BD1F7F"/>
    <w:rsid w:val="00BD369B"/>
    <w:rsid w:val="00C0030B"/>
    <w:rsid w:val="00C15538"/>
    <w:rsid w:val="00C262CB"/>
    <w:rsid w:val="00C314AA"/>
    <w:rsid w:val="00C41C5C"/>
    <w:rsid w:val="00C5335D"/>
    <w:rsid w:val="00C5401F"/>
    <w:rsid w:val="00C553BF"/>
    <w:rsid w:val="00C761CD"/>
    <w:rsid w:val="00C8146C"/>
    <w:rsid w:val="00C9340F"/>
    <w:rsid w:val="00CA1263"/>
    <w:rsid w:val="00CA5861"/>
    <w:rsid w:val="00CA7F14"/>
    <w:rsid w:val="00CC3926"/>
    <w:rsid w:val="00CF2DE5"/>
    <w:rsid w:val="00CF4117"/>
    <w:rsid w:val="00D0034E"/>
    <w:rsid w:val="00D03840"/>
    <w:rsid w:val="00D05333"/>
    <w:rsid w:val="00D0713D"/>
    <w:rsid w:val="00D24CA0"/>
    <w:rsid w:val="00D33510"/>
    <w:rsid w:val="00D33E59"/>
    <w:rsid w:val="00D35F75"/>
    <w:rsid w:val="00D445E2"/>
    <w:rsid w:val="00D46D4A"/>
    <w:rsid w:val="00D47760"/>
    <w:rsid w:val="00D769D8"/>
    <w:rsid w:val="00DC6CDA"/>
    <w:rsid w:val="00DD12D2"/>
    <w:rsid w:val="00DD2A1C"/>
    <w:rsid w:val="00DF6D8C"/>
    <w:rsid w:val="00E014B7"/>
    <w:rsid w:val="00E158AD"/>
    <w:rsid w:val="00E2273C"/>
    <w:rsid w:val="00E51A25"/>
    <w:rsid w:val="00E5349F"/>
    <w:rsid w:val="00E94234"/>
    <w:rsid w:val="00EA7361"/>
    <w:rsid w:val="00EB20C4"/>
    <w:rsid w:val="00EB5284"/>
    <w:rsid w:val="00EC51B0"/>
    <w:rsid w:val="00ED1770"/>
    <w:rsid w:val="00ED2963"/>
    <w:rsid w:val="00EF2EEB"/>
    <w:rsid w:val="00F070F0"/>
    <w:rsid w:val="00F12EE3"/>
    <w:rsid w:val="00F146BF"/>
    <w:rsid w:val="00F24DBB"/>
    <w:rsid w:val="00F25341"/>
    <w:rsid w:val="00F3256E"/>
    <w:rsid w:val="00F367C8"/>
    <w:rsid w:val="00F40607"/>
    <w:rsid w:val="00F5380F"/>
    <w:rsid w:val="00F75351"/>
    <w:rsid w:val="00F967FF"/>
    <w:rsid w:val="00FA02D0"/>
    <w:rsid w:val="00FC531B"/>
    <w:rsid w:val="00FE6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38D2A1-2DC3-4D7E-B480-8622375C0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6D4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Navarro</dc:creator>
  <cp:keywords/>
  <dc:description/>
  <cp:lastModifiedBy>Cristina Navarro</cp:lastModifiedBy>
  <cp:revision>1</cp:revision>
  <dcterms:created xsi:type="dcterms:W3CDTF">2019-03-10T14:45:00Z</dcterms:created>
  <dcterms:modified xsi:type="dcterms:W3CDTF">2019-03-10T14:46:00Z</dcterms:modified>
</cp:coreProperties>
</file>