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F11" w:rsidRDefault="00DE21FF">
      <w:pPr>
        <w:rPr>
          <w:rFonts w:asciiTheme="majorBidi" w:hAnsiTheme="majorBidi" w:cstheme="majorBidi"/>
          <w:color w:val="4F81BD" w:themeColor="accent1"/>
          <w:sz w:val="36"/>
          <w:szCs w:val="36"/>
        </w:rPr>
      </w:pPr>
      <w:r w:rsidRPr="00DE21FF">
        <w:rPr>
          <w:rFonts w:asciiTheme="majorBidi" w:hAnsiTheme="majorBidi" w:cstheme="majorBidi"/>
          <w:color w:val="4F81BD" w:themeColor="accent1"/>
          <w:sz w:val="36"/>
          <w:szCs w:val="36"/>
        </w:rPr>
        <w:t xml:space="preserve">Effect of </w:t>
      </w:r>
      <w:proofErr w:type="spellStart"/>
      <w:r w:rsidRPr="00DE21FF">
        <w:rPr>
          <w:rFonts w:asciiTheme="majorBidi" w:hAnsiTheme="majorBidi" w:cstheme="majorBidi"/>
          <w:color w:val="4F81BD" w:themeColor="accent1"/>
          <w:sz w:val="36"/>
          <w:szCs w:val="36"/>
        </w:rPr>
        <w:t>Carbamide</w:t>
      </w:r>
      <w:proofErr w:type="spellEnd"/>
      <w:r w:rsidRPr="00DE21FF">
        <w:rPr>
          <w:rFonts w:asciiTheme="majorBidi" w:hAnsiTheme="majorBidi" w:cstheme="majorBidi"/>
          <w:color w:val="4F81BD" w:themeColor="accent1"/>
          <w:sz w:val="36"/>
          <w:szCs w:val="36"/>
        </w:rPr>
        <w:t xml:space="preserve"> Peroxide Bleaching Gel Contains </w:t>
      </w:r>
      <w:proofErr w:type="spellStart"/>
      <w:r w:rsidRPr="00DE21FF">
        <w:rPr>
          <w:rFonts w:asciiTheme="majorBidi" w:hAnsiTheme="majorBidi" w:cstheme="majorBidi"/>
          <w:color w:val="4F81BD" w:themeColor="accent1"/>
          <w:sz w:val="36"/>
          <w:szCs w:val="36"/>
        </w:rPr>
        <w:t>Remineralization</w:t>
      </w:r>
      <w:proofErr w:type="spellEnd"/>
      <w:r w:rsidRPr="00DE21FF">
        <w:rPr>
          <w:rFonts w:asciiTheme="majorBidi" w:hAnsiTheme="majorBidi" w:cstheme="majorBidi"/>
          <w:color w:val="4F81BD" w:themeColor="accent1"/>
          <w:sz w:val="36"/>
          <w:szCs w:val="36"/>
        </w:rPr>
        <w:t xml:space="preserve"> Agent on </w:t>
      </w:r>
      <w:proofErr w:type="spellStart"/>
      <w:r w:rsidRPr="00DE21FF">
        <w:rPr>
          <w:rFonts w:asciiTheme="majorBidi" w:hAnsiTheme="majorBidi" w:cstheme="majorBidi"/>
          <w:color w:val="4F81BD" w:themeColor="accent1"/>
          <w:sz w:val="36"/>
          <w:szCs w:val="36"/>
        </w:rPr>
        <w:t>Microtensile</w:t>
      </w:r>
      <w:proofErr w:type="spellEnd"/>
      <w:r w:rsidRPr="00DE21FF">
        <w:rPr>
          <w:rFonts w:asciiTheme="majorBidi" w:hAnsiTheme="majorBidi" w:cstheme="majorBidi"/>
          <w:color w:val="4F81BD" w:themeColor="accent1"/>
          <w:sz w:val="36"/>
          <w:szCs w:val="36"/>
        </w:rPr>
        <w:t xml:space="preserve"> Bond Strength of </w:t>
      </w:r>
      <w:proofErr w:type="spellStart"/>
      <w:r w:rsidRPr="00DE21FF">
        <w:rPr>
          <w:rFonts w:asciiTheme="majorBidi" w:hAnsiTheme="majorBidi" w:cstheme="majorBidi"/>
          <w:color w:val="4F81BD" w:themeColor="accent1"/>
          <w:sz w:val="36"/>
          <w:szCs w:val="36"/>
        </w:rPr>
        <w:t>Nanofilled</w:t>
      </w:r>
      <w:proofErr w:type="spellEnd"/>
      <w:r w:rsidRPr="00DE21FF">
        <w:rPr>
          <w:rFonts w:asciiTheme="majorBidi" w:hAnsiTheme="majorBidi" w:cstheme="majorBidi"/>
          <w:color w:val="4F81BD" w:themeColor="accent1"/>
          <w:sz w:val="36"/>
          <w:szCs w:val="36"/>
        </w:rPr>
        <w:t xml:space="preserve"> Composite Resin Based Dental Materials</w:t>
      </w:r>
    </w:p>
    <w:p w:rsidR="00DE21FF" w:rsidRPr="00DE21FF" w:rsidRDefault="00DE21FF" w:rsidP="00DE21FF">
      <w:pPr>
        <w:spacing w:after="0"/>
        <w:jc w:val="both"/>
        <w:rPr>
          <w:rFonts w:asciiTheme="minorBidi" w:hAnsiTheme="minorBidi"/>
          <w:sz w:val="18"/>
          <w:szCs w:val="18"/>
          <w:lang w:bidi="fa-IR"/>
        </w:rPr>
      </w:pPr>
      <w:proofErr w:type="spellStart"/>
      <w:proofErr w:type="gramStart"/>
      <w:r w:rsidRPr="00DE21FF">
        <w:rPr>
          <w:rFonts w:asciiTheme="minorBidi" w:hAnsiTheme="minorBidi"/>
          <w:sz w:val="18"/>
          <w:szCs w:val="18"/>
          <w:lang w:bidi="fa-IR"/>
        </w:rPr>
        <w:t>Arman</w:t>
      </w:r>
      <w:proofErr w:type="spell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Salehi</w:t>
      </w:r>
      <w:proofErr w:type="spellEnd"/>
      <w:proofErr w:type="gram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Negar</w:t>
      </w:r>
      <w:proofErr w:type="spell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Salehi</w:t>
      </w:r>
      <w:proofErr w:type="spellEnd"/>
    </w:p>
    <w:p w:rsidR="00DE21FF" w:rsidRDefault="00DE21FF" w:rsidP="00DE21FF">
      <w:pPr>
        <w:rPr>
          <w:rFonts w:asciiTheme="minorBidi" w:hAnsiTheme="minorBidi"/>
          <w:sz w:val="18"/>
          <w:szCs w:val="18"/>
        </w:rPr>
      </w:pPr>
      <w:r w:rsidRPr="00DE21FF">
        <w:rPr>
          <w:rFonts w:asciiTheme="minorBidi" w:hAnsiTheme="minorBidi"/>
          <w:sz w:val="18"/>
          <w:szCs w:val="18"/>
        </w:rPr>
        <w:t xml:space="preserve">Assistant Professor of </w:t>
      </w:r>
      <w:proofErr w:type="spellStart"/>
      <w:r w:rsidRPr="00DE21FF">
        <w:rPr>
          <w:rFonts w:asciiTheme="minorBidi" w:hAnsiTheme="minorBidi"/>
          <w:sz w:val="18"/>
          <w:szCs w:val="18"/>
        </w:rPr>
        <w:t>Rafsanjan</w:t>
      </w:r>
      <w:proofErr w:type="spellEnd"/>
      <w:r w:rsidRPr="00DE21FF">
        <w:rPr>
          <w:rFonts w:asciiTheme="minorBidi" w:hAnsiTheme="minorBidi"/>
          <w:sz w:val="18"/>
          <w:szCs w:val="18"/>
        </w:rPr>
        <w:t xml:space="preserve"> University of Medical Sciences, Iran</w:t>
      </w:r>
    </w:p>
    <w:p w:rsidR="00DE21FF" w:rsidRDefault="00DE21FF" w:rsidP="00DE21FF">
      <w:pPr>
        <w:rPr>
          <w:rFonts w:asciiTheme="minorBidi" w:hAnsiTheme="minorBidi"/>
          <w:sz w:val="18"/>
          <w:szCs w:val="18"/>
        </w:rPr>
      </w:pPr>
    </w:p>
    <w:p w:rsidR="00DE21FF" w:rsidRDefault="00DE21FF" w:rsidP="00DE21FF">
      <w:pPr>
        <w:spacing w:after="0" w:line="360" w:lineRule="auto"/>
        <w:jc w:val="both"/>
        <w:rPr>
          <w:rFonts w:asciiTheme="majorBidi" w:eastAsia="Times New Roman" w:hAnsiTheme="majorBidi" w:cstheme="majorBidi"/>
          <w:b/>
          <w:bCs/>
          <w:noProof/>
          <w:sz w:val="24"/>
          <w:szCs w:val="24"/>
        </w:rPr>
        <w:sectPr w:rsidR="00DE21FF">
          <w:pgSz w:w="12240" w:h="15840"/>
          <w:pgMar w:top="1440" w:right="1440" w:bottom="1440" w:left="1440" w:header="720" w:footer="720" w:gutter="0"/>
          <w:cols w:space="720"/>
          <w:docGrid w:linePitch="360"/>
        </w:sectPr>
      </w:pPr>
    </w:p>
    <w:p w:rsidR="00DE21FF" w:rsidRPr="00471E69" w:rsidRDefault="00DE21FF" w:rsidP="00DE21FF">
      <w:pPr>
        <w:spacing w:after="0" w:line="360" w:lineRule="auto"/>
        <w:jc w:val="both"/>
        <w:rPr>
          <w:rFonts w:asciiTheme="majorBidi" w:eastAsia="Times New Roman" w:hAnsiTheme="majorBidi" w:cstheme="majorBidi"/>
          <w:b/>
          <w:bCs/>
          <w:noProof/>
          <w:sz w:val="18"/>
          <w:szCs w:val="18"/>
        </w:rPr>
      </w:pPr>
      <w:r w:rsidRPr="00471E69">
        <w:rPr>
          <w:rFonts w:asciiTheme="majorBidi" w:eastAsia="Times New Roman" w:hAnsiTheme="majorBidi" w:cstheme="majorBidi"/>
          <w:b/>
          <w:bCs/>
          <w:noProof/>
          <w:sz w:val="18"/>
          <w:szCs w:val="18"/>
        </w:rPr>
        <w:lastRenderedPageBreak/>
        <w:t>Abstract</w:t>
      </w:r>
    </w:p>
    <w:p w:rsidR="00DE21FF" w:rsidRPr="00471E69" w:rsidRDefault="00DE21FF" w:rsidP="00DE21FF">
      <w:pPr>
        <w:autoSpaceDE w:val="0"/>
        <w:autoSpaceDN w:val="0"/>
        <w:adjustRightInd w:val="0"/>
        <w:spacing w:after="0" w:line="360" w:lineRule="auto"/>
        <w:jc w:val="both"/>
        <w:rPr>
          <w:rFonts w:asciiTheme="majorBidi" w:hAnsiTheme="majorBidi" w:cstheme="majorBidi"/>
          <w:sz w:val="18"/>
          <w:szCs w:val="18"/>
        </w:rPr>
      </w:pPr>
      <w:r w:rsidRPr="00471E69">
        <w:rPr>
          <w:rFonts w:asciiTheme="majorBidi" w:eastAsia="Times New Roman" w:hAnsiTheme="majorBidi" w:cstheme="majorBidi"/>
          <w:b/>
          <w:bCs/>
          <w:noProof/>
          <w:sz w:val="18"/>
          <w:szCs w:val="18"/>
        </w:rPr>
        <w:t>Purpose</w:t>
      </w:r>
      <w:r w:rsidRPr="00471E69">
        <w:rPr>
          <w:rFonts w:asciiTheme="majorBidi" w:eastAsia="Times New Roman" w:hAnsiTheme="majorBidi" w:cstheme="majorBidi"/>
          <w:noProof/>
          <w:sz w:val="18"/>
          <w:szCs w:val="18"/>
        </w:rPr>
        <w:t xml:space="preserve">: </w:t>
      </w:r>
      <w:r w:rsidRPr="00471E69">
        <w:rPr>
          <w:rFonts w:asciiTheme="majorBidi" w:hAnsiTheme="majorBidi" w:cstheme="majorBidi"/>
          <w:sz w:val="18"/>
          <w:szCs w:val="18"/>
        </w:rPr>
        <w:t xml:space="preserve">The aim of this study was to examine the effect of </w:t>
      </w:r>
      <w:r w:rsidRPr="00471E69">
        <w:rPr>
          <w:rFonts w:asciiTheme="majorBidi" w:eastAsia="Times New Roman" w:hAnsiTheme="majorBidi" w:cstheme="majorBidi"/>
          <w:noProof/>
          <w:sz w:val="18"/>
          <w:szCs w:val="18"/>
        </w:rPr>
        <w:t>carbamide peroxide bleaching gel containing remineralization agents</w:t>
      </w:r>
      <w:r w:rsidRPr="00471E69">
        <w:rPr>
          <w:rFonts w:asciiTheme="majorBidi" w:hAnsiTheme="majorBidi" w:cstheme="majorBidi"/>
          <w:sz w:val="18"/>
          <w:szCs w:val="18"/>
        </w:rPr>
        <w:t xml:space="preserve"> on bond strength of universal bonding adhesives to enamel.</w:t>
      </w:r>
    </w:p>
    <w:p w:rsidR="00DE21FF" w:rsidRPr="00471E69" w:rsidRDefault="00DE21FF" w:rsidP="00DE21FF">
      <w:pPr>
        <w:autoSpaceDE w:val="0"/>
        <w:autoSpaceDN w:val="0"/>
        <w:adjustRightInd w:val="0"/>
        <w:spacing w:after="0" w:line="360" w:lineRule="auto"/>
        <w:jc w:val="both"/>
        <w:rPr>
          <w:rFonts w:asciiTheme="majorBidi" w:hAnsiTheme="majorBidi" w:cstheme="majorBidi"/>
          <w:sz w:val="18"/>
          <w:szCs w:val="18"/>
        </w:rPr>
      </w:pPr>
      <w:r w:rsidRPr="00471E69">
        <w:rPr>
          <w:rFonts w:asciiTheme="majorBidi" w:eastAsia="Times New Roman" w:hAnsiTheme="majorBidi" w:cstheme="majorBidi"/>
          <w:b/>
          <w:bCs/>
          <w:noProof/>
          <w:sz w:val="18"/>
          <w:szCs w:val="18"/>
        </w:rPr>
        <w:t>Methods</w:t>
      </w:r>
      <w:r w:rsidRPr="00471E69">
        <w:rPr>
          <w:rFonts w:asciiTheme="majorBidi" w:eastAsia="Times New Roman" w:hAnsiTheme="majorBidi" w:cstheme="majorBidi"/>
          <w:noProof/>
          <w:sz w:val="18"/>
          <w:szCs w:val="18"/>
        </w:rPr>
        <w:t xml:space="preserve">: </w:t>
      </w:r>
      <w:r w:rsidRPr="00471E69">
        <w:rPr>
          <w:rFonts w:asciiTheme="majorBidi" w:hAnsiTheme="majorBidi" w:cstheme="majorBidi"/>
          <w:sz w:val="18"/>
          <w:szCs w:val="18"/>
        </w:rPr>
        <w:t xml:space="preserve">Forty-five </w:t>
      </w:r>
      <w:r w:rsidRPr="00471E69">
        <w:rPr>
          <w:rFonts w:asciiTheme="majorBidi" w:eastAsia="Times New Roman" w:hAnsiTheme="majorBidi" w:cstheme="majorBidi"/>
          <w:noProof/>
          <w:sz w:val="18"/>
          <w:szCs w:val="18"/>
        </w:rPr>
        <w:t>extracted human third molars</w:t>
      </w:r>
      <w:r w:rsidRPr="00471E69">
        <w:rPr>
          <w:rFonts w:asciiTheme="majorBidi" w:hAnsiTheme="majorBidi" w:cstheme="majorBidi"/>
          <w:sz w:val="18"/>
          <w:szCs w:val="18"/>
        </w:rPr>
        <w:t xml:space="preserve"> were divided into five groups to receive bleaching treatments during 14 days, as follows: no treatment; 10% </w:t>
      </w:r>
      <w:proofErr w:type="spellStart"/>
      <w:r w:rsidRPr="00471E69">
        <w:rPr>
          <w:rFonts w:asciiTheme="majorBidi" w:hAnsiTheme="majorBidi" w:cstheme="majorBidi"/>
          <w:sz w:val="18"/>
          <w:szCs w:val="18"/>
        </w:rPr>
        <w:t>carbamide</w:t>
      </w:r>
      <w:proofErr w:type="spellEnd"/>
      <w:r w:rsidRPr="00471E69">
        <w:rPr>
          <w:rFonts w:asciiTheme="majorBidi" w:hAnsiTheme="majorBidi" w:cstheme="majorBidi"/>
          <w:sz w:val="18"/>
          <w:szCs w:val="18"/>
        </w:rPr>
        <w:t xml:space="preserve"> peroxide (CP) bleaching; 10% CP containing 0.11% fluoride; 10% CP containing </w:t>
      </w:r>
      <w:r w:rsidRPr="00471E69">
        <w:rPr>
          <w:rFonts w:asciiTheme="majorBidi" w:hAnsiTheme="majorBidi" w:cstheme="majorBidi"/>
          <w:color w:val="231F20"/>
          <w:sz w:val="18"/>
          <w:szCs w:val="18"/>
        </w:rPr>
        <w:t>CPP-ACP; and</w:t>
      </w:r>
      <w:r w:rsidRPr="00471E69">
        <w:rPr>
          <w:rFonts w:asciiTheme="majorBidi" w:hAnsiTheme="majorBidi" w:cstheme="majorBidi"/>
          <w:sz w:val="18"/>
          <w:szCs w:val="18"/>
        </w:rPr>
        <w:t xml:space="preserve"> 10% CP containing </w:t>
      </w:r>
      <w:r w:rsidRPr="00471E69">
        <w:rPr>
          <w:rFonts w:asciiTheme="majorBidi" w:hAnsiTheme="majorBidi" w:cstheme="majorBidi"/>
          <w:color w:val="231F20"/>
          <w:sz w:val="18"/>
          <w:szCs w:val="18"/>
        </w:rPr>
        <w:t>CPP-ACP, and</w:t>
      </w:r>
      <w:r w:rsidRPr="00471E69">
        <w:rPr>
          <w:rFonts w:asciiTheme="majorBidi" w:hAnsiTheme="majorBidi" w:cstheme="majorBidi"/>
          <w:sz w:val="18"/>
          <w:szCs w:val="18"/>
        </w:rPr>
        <w:t xml:space="preserve"> 0.11% fluoride. The </w:t>
      </w:r>
      <w:proofErr w:type="spellStart"/>
      <w:r w:rsidRPr="00471E69">
        <w:rPr>
          <w:rFonts w:asciiTheme="majorBidi" w:hAnsiTheme="majorBidi" w:cstheme="majorBidi"/>
          <w:sz w:val="18"/>
          <w:szCs w:val="18"/>
        </w:rPr>
        <w:t>buccal</w:t>
      </w:r>
      <w:proofErr w:type="spellEnd"/>
      <w:r w:rsidRPr="00471E69">
        <w:rPr>
          <w:rFonts w:asciiTheme="majorBidi" w:hAnsiTheme="majorBidi" w:cstheme="majorBidi"/>
          <w:sz w:val="18"/>
          <w:szCs w:val="18"/>
        </w:rPr>
        <w:t xml:space="preserve"> surfaces of tooth were conditioned with 37% phosphoric acid, and </w:t>
      </w:r>
      <w:r w:rsidRPr="00471E69">
        <w:rPr>
          <w:rFonts w:asciiTheme="majorBidi" w:eastAsia="Times New Roman" w:hAnsiTheme="majorBidi" w:cstheme="majorBidi"/>
          <w:noProof/>
          <w:sz w:val="18"/>
          <w:szCs w:val="18"/>
        </w:rPr>
        <w:t xml:space="preserve">each group was devided into three subgroups </w:t>
      </w:r>
      <w:r w:rsidRPr="00471E69">
        <w:rPr>
          <w:rFonts w:asciiTheme="majorBidi" w:hAnsiTheme="majorBidi" w:cstheme="majorBidi"/>
          <w:sz w:val="18"/>
          <w:szCs w:val="18"/>
        </w:rPr>
        <w:t>to receive the adhesive resins:</w:t>
      </w:r>
      <w:r w:rsidRPr="00471E69">
        <w:rPr>
          <w:rFonts w:asciiTheme="majorBidi" w:eastAsia="Times New Roman" w:hAnsiTheme="majorBidi" w:cstheme="majorBidi"/>
          <w:noProof/>
          <w:sz w:val="18"/>
          <w:szCs w:val="18"/>
        </w:rPr>
        <w:t xml:space="preserve"> All Bond Universal; Scoth Bond Universal and </w:t>
      </w:r>
      <w:r w:rsidRPr="00471E69">
        <w:rPr>
          <w:rFonts w:asciiTheme="majorBidi" w:hAnsiTheme="majorBidi" w:cstheme="majorBidi"/>
          <w:sz w:val="18"/>
          <w:szCs w:val="18"/>
        </w:rPr>
        <w:t>a conventional etch and rinse adhesive</w:t>
      </w:r>
      <w:r w:rsidRPr="00471E69">
        <w:rPr>
          <w:rFonts w:asciiTheme="majorBidi" w:eastAsia="Times New Roman" w:hAnsiTheme="majorBidi" w:cstheme="majorBidi"/>
          <w:noProof/>
          <w:sz w:val="18"/>
          <w:szCs w:val="18"/>
        </w:rPr>
        <w:t xml:space="preserve"> (Adper Single Bond).</w:t>
      </w:r>
      <w:r w:rsidRPr="00471E69">
        <w:rPr>
          <w:rFonts w:asciiTheme="majorBidi" w:hAnsiTheme="majorBidi" w:cstheme="majorBidi"/>
          <w:sz w:val="18"/>
          <w:szCs w:val="18"/>
        </w:rPr>
        <w:t xml:space="preserve"> The enamel surfaces were respectively bonded with the resin composite </w:t>
      </w:r>
      <w:proofErr w:type="spellStart"/>
      <w:r w:rsidRPr="00471E69">
        <w:rPr>
          <w:rFonts w:asciiTheme="majorBidi" w:hAnsiTheme="majorBidi" w:cstheme="majorBidi"/>
          <w:sz w:val="18"/>
          <w:szCs w:val="18"/>
        </w:rPr>
        <w:t>Filtek</w:t>
      </w:r>
      <w:proofErr w:type="spellEnd"/>
      <w:r w:rsidRPr="00471E69">
        <w:rPr>
          <w:rFonts w:asciiTheme="majorBidi" w:hAnsiTheme="majorBidi" w:cstheme="majorBidi"/>
          <w:sz w:val="18"/>
          <w:szCs w:val="18"/>
        </w:rPr>
        <w:t xml:space="preserve"> Z250 and sectioned to create resin–enamel beams. These beams were subjected to the micro-tensile bond strength (µTBS) test, and then assessed for failure mode under scanning electron microscopy.</w:t>
      </w:r>
    </w:p>
    <w:p w:rsidR="00DE21FF" w:rsidRPr="00471E69" w:rsidRDefault="00DE21FF" w:rsidP="00DE21FF">
      <w:pPr>
        <w:spacing w:after="0" w:line="360" w:lineRule="auto"/>
        <w:ind w:left="-46"/>
        <w:jc w:val="both"/>
        <w:rPr>
          <w:rFonts w:asciiTheme="majorBidi" w:eastAsia="Times New Roman" w:hAnsiTheme="majorBidi" w:cstheme="majorBidi"/>
          <w:noProof/>
          <w:sz w:val="18"/>
          <w:szCs w:val="18"/>
        </w:rPr>
      </w:pPr>
      <w:r w:rsidRPr="00471E69">
        <w:rPr>
          <w:rFonts w:asciiTheme="majorBidi" w:eastAsia="Times New Roman" w:hAnsiTheme="majorBidi" w:cstheme="majorBidi"/>
          <w:b/>
          <w:bCs/>
          <w:noProof/>
          <w:sz w:val="18"/>
          <w:szCs w:val="18"/>
        </w:rPr>
        <w:t>Results:</w:t>
      </w:r>
      <w:r w:rsidRPr="00471E69">
        <w:rPr>
          <w:rFonts w:asciiTheme="majorBidi" w:eastAsia="Times New Roman" w:hAnsiTheme="majorBidi" w:cstheme="majorBidi"/>
          <w:noProof/>
          <w:sz w:val="18"/>
          <w:szCs w:val="18"/>
        </w:rPr>
        <w:t xml:space="preserve"> The highest micro-tensile bond strength of the composite resin to enamel was observed in the control group (25/9 MPa) and the lowest was observed in the bleaching with fluoride group (17/2 MPa). Pairwise comparison of the micro-tensile bond strength between the studied groups showed a significant  difference between all the groups The highest microtensile bond strength had Adper Single Bond adhesive subgroup (19/7 MPa) and the </w:t>
      </w:r>
      <w:r w:rsidRPr="00471E69">
        <w:rPr>
          <w:rFonts w:asciiTheme="majorBidi" w:eastAsia="Times New Roman" w:hAnsiTheme="majorBidi" w:cstheme="majorBidi"/>
          <w:noProof/>
          <w:sz w:val="18"/>
          <w:szCs w:val="18"/>
        </w:rPr>
        <w:lastRenderedPageBreak/>
        <w:t>lowest of the following groups had All Bond Universal Bonding (16/8 MPa) .</w:t>
      </w:r>
    </w:p>
    <w:p w:rsidR="00DE21FF" w:rsidRDefault="00DE21FF" w:rsidP="00DE21FF">
      <w:pPr>
        <w:spacing w:after="0" w:line="360" w:lineRule="auto"/>
        <w:ind w:left="-46"/>
        <w:jc w:val="both"/>
        <w:rPr>
          <w:rFonts w:asciiTheme="majorBidi" w:eastAsia="Times New Roman" w:hAnsiTheme="majorBidi" w:cs="Times New Roman"/>
          <w:noProof/>
          <w:sz w:val="18"/>
          <w:szCs w:val="18"/>
        </w:rPr>
      </w:pPr>
      <w:r w:rsidRPr="00471E69">
        <w:rPr>
          <w:rFonts w:asciiTheme="majorBidi" w:eastAsia="Times New Roman" w:hAnsiTheme="majorBidi" w:cstheme="majorBidi"/>
          <w:b/>
          <w:bCs/>
          <w:noProof/>
          <w:sz w:val="18"/>
          <w:szCs w:val="18"/>
        </w:rPr>
        <w:t>Conclusion:</w:t>
      </w:r>
      <w:r w:rsidRPr="00471E69">
        <w:rPr>
          <w:rFonts w:asciiTheme="majorBidi" w:eastAsia="Times New Roman" w:hAnsiTheme="majorBidi" w:cstheme="majorBidi"/>
          <w:noProof/>
          <w:sz w:val="18"/>
          <w:szCs w:val="18"/>
        </w:rPr>
        <w:t xml:space="preserve"> The carbamide peroxide bleaching gel and remineralizing agent applications decreased micro-tensile bond strength of composite resin to enamel. Also, the micro-tensile bond strength of etch and rinse adhesive was higher than the universal bonding</w:t>
      </w:r>
      <w:r w:rsidRPr="00471E69">
        <w:rPr>
          <w:rFonts w:asciiTheme="majorBidi" w:eastAsia="Times New Roman" w:hAnsiTheme="majorBidi" w:cs="Times New Roman"/>
          <w:noProof/>
          <w:sz w:val="18"/>
          <w:szCs w:val="18"/>
          <w:rtl/>
        </w:rPr>
        <w:t>.</w:t>
      </w:r>
    </w:p>
    <w:p w:rsidR="00DE21FF" w:rsidRDefault="00DE21FF" w:rsidP="00DE21FF">
      <w:pPr>
        <w:rPr>
          <w:rFonts w:asciiTheme="minorBidi" w:hAnsiTheme="minorBidi"/>
          <w:color w:val="4F81BD" w:themeColor="accent1"/>
          <w:sz w:val="18"/>
          <w:szCs w:val="18"/>
        </w:rPr>
      </w:pPr>
    </w:p>
    <w:p w:rsidR="00010AB3" w:rsidRPr="00010AB3" w:rsidRDefault="00010AB3" w:rsidP="00010AB3">
      <w:pPr>
        <w:pStyle w:val="ListParagraph"/>
        <w:numPr>
          <w:ilvl w:val="0"/>
          <w:numId w:val="1"/>
        </w:numPr>
        <w:bidi w:val="0"/>
        <w:spacing w:after="0" w:line="360" w:lineRule="auto"/>
        <w:ind w:right="-142"/>
        <w:jc w:val="both"/>
        <w:rPr>
          <w:rFonts w:asciiTheme="majorBidi" w:eastAsia="Times New Roman" w:hAnsiTheme="majorBidi" w:cstheme="majorBidi"/>
          <w:noProof/>
          <w:sz w:val="18"/>
          <w:szCs w:val="18"/>
        </w:rPr>
      </w:pPr>
      <w:r w:rsidRPr="00010AB3">
        <w:rPr>
          <w:rFonts w:asciiTheme="majorBidi" w:eastAsia="Times New Roman" w:hAnsiTheme="majorBidi" w:cstheme="majorBidi"/>
          <w:noProof/>
          <w:sz w:val="18"/>
          <w:szCs w:val="18"/>
        </w:rPr>
        <w:t>McLean, Me</w:t>
      </w:r>
      <w:r w:rsidR="000F5291">
        <w:rPr>
          <w:rFonts w:asciiTheme="majorBidi" w:eastAsia="Times New Roman" w:hAnsiTheme="majorBidi" w:cstheme="majorBidi"/>
          <w:noProof/>
          <w:sz w:val="18"/>
          <w:szCs w:val="18"/>
        </w:rPr>
        <w:t>yers E, Guillory V (2015)</w:t>
      </w:r>
      <w:r w:rsidRPr="00010AB3">
        <w:rPr>
          <w:rFonts w:asciiTheme="majorBidi" w:eastAsia="Times New Roman" w:hAnsiTheme="majorBidi" w:cstheme="majorBidi"/>
          <w:noProof/>
          <w:sz w:val="18"/>
          <w:szCs w:val="18"/>
        </w:rPr>
        <w:t>. Enamel Bond Strength of New Universal Adhesive Bonding Agents. Oper</w:t>
      </w:r>
      <w:r w:rsidR="000F5291">
        <w:rPr>
          <w:rFonts w:asciiTheme="majorBidi" w:eastAsia="Times New Roman" w:hAnsiTheme="majorBidi" w:cstheme="majorBidi"/>
          <w:noProof/>
          <w:sz w:val="18"/>
          <w:szCs w:val="18"/>
        </w:rPr>
        <w:t>ative</w:t>
      </w:r>
      <w:r w:rsidRPr="00010AB3">
        <w:rPr>
          <w:rFonts w:asciiTheme="majorBidi" w:eastAsia="Times New Roman" w:hAnsiTheme="majorBidi" w:cstheme="majorBidi"/>
          <w:noProof/>
          <w:sz w:val="18"/>
          <w:szCs w:val="18"/>
        </w:rPr>
        <w:t xml:space="preserve"> Dent</w:t>
      </w:r>
      <w:r w:rsidR="000F5291">
        <w:rPr>
          <w:rFonts w:asciiTheme="majorBidi" w:eastAsia="Times New Roman" w:hAnsiTheme="majorBidi" w:cstheme="majorBidi"/>
          <w:noProof/>
          <w:sz w:val="18"/>
          <w:szCs w:val="18"/>
        </w:rPr>
        <w:t>istry</w:t>
      </w:r>
      <w:r w:rsidRPr="00010AB3">
        <w:rPr>
          <w:rFonts w:asciiTheme="majorBidi" w:eastAsia="Times New Roman" w:hAnsiTheme="majorBidi" w:cstheme="majorBidi"/>
          <w:noProof/>
          <w:sz w:val="18"/>
          <w:szCs w:val="18"/>
        </w:rPr>
        <w:t xml:space="preserve"> 40 (4): 410-</w:t>
      </w:r>
      <w:r w:rsidR="000F5291">
        <w:rPr>
          <w:rFonts w:asciiTheme="majorBidi" w:eastAsia="Times New Roman" w:hAnsiTheme="majorBidi" w:cstheme="majorBidi"/>
          <w:noProof/>
          <w:sz w:val="18"/>
          <w:szCs w:val="18"/>
        </w:rPr>
        <w:t>41</w:t>
      </w:r>
      <w:r w:rsidRPr="00010AB3">
        <w:rPr>
          <w:rFonts w:asciiTheme="majorBidi" w:eastAsia="Times New Roman" w:hAnsiTheme="majorBidi" w:cstheme="majorBidi"/>
          <w:noProof/>
          <w:sz w:val="18"/>
          <w:szCs w:val="18"/>
        </w:rPr>
        <w:t>7</w:t>
      </w:r>
    </w:p>
    <w:p w:rsidR="00010AB3" w:rsidRPr="00010AB3" w:rsidRDefault="00010AB3" w:rsidP="00010AB3">
      <w:pPr>
        <w:pStyle w:val="ListParagraph"/>
        <w:numPr>
          <w:ilvl w:val="0"/>
          <w:numId w:val="1"/>
        </w:numPr>
        <w:bidi w:val="0"/>
        <w:spacing w:after="0" w:line="360" w:lineRule="auto"/>
        <w:ind w:right="-142"/>
        <w:jc w:val="both"/>
        <w:rPr>
          <w:rFonts w:asciiTheme="majorBidi" w:eastAsia="Times New Roman" w:hAnsiTheme="majorBidi" w:cstheme="majorBidi"/>
          <w:noProof/>
          <w:sz w:val="18"/>
          <w:szCs w:val="18"/>
        </w:rPr>
      </w:pPr>
      <w:r w:rsidRPr="00010AB3">
        <w:rPr>
          <w:rFonts w:asciiTheme="majorBidi" w:eastAsia="Times New Roman" w:hAnsiTheme="majorBidi" w:cstheme="majorBidi"/>
          <w:noProof/>
          <w:sz w:val="18"/>
          <w:szCs w:val="18"/>
        </w:rPr>
        <w:t>Seabra B</w:t>
      </w:r>
      <w:r w:rsidR="000F5291">
        <w:rPr>
          <w:rFonts w:asciiTheme="majorBidi" w:eastAsia="Times New Roman" w:hAnsiTheme="majorBidi" w:cstheme="majorBidi"/>
          <w:noProof/>
          <w:sz w:val="18"/>
          <w:szCs w:val="18"/>
        </w:rPr>
        <w:t>, Arantes-Oliveira (2014)</w:t>
      </w:r>
      <w:r w:rsidRPr="00010AB3">
        <w:rPr>
          <w:rFonts w:asciiTheme="majorBidi" w:eastAsia="Times New Roman" w:hAnsiTheme="majorBidi" w:cstheme="majorBidi"/>
          <w:noProof/>
          <w:sz w:val="18"/>
          <w:szCs w:val="18"/>
        </w:rPr>
        <w:t>. Influence of multimode universal adhesives and zirconia primer application t</w:t>
      </w:r>
      <w:r w:rsidR="000F5291">
        <w:rPr>
          <w:rFonts w:asciiTheme="majorBidi" w:eastAsia="Times New Roman" w:hAnsiTheme="majorBidi" w:cstheme="majorBidi"/>
          <w:noProof/>
          <w:sz w:val="18"/>
          <w:szCs w:val="18"/>
        </w:rPr>
        <w:t>echniques on zirconia repair. Journal of</w:t>
      </w:r>
      <w:r w:rsidRPr="00010AB3">
        <w:rPr>
          <w:rFonts w:asciiTheme="majorBidi" w:eastAsia="Times New Roman" w:hAnsiTheme="majorBidi" w:cstheme="majorBidi"/>
          <w:noProof/>
          <w:sz w:val="18"/>
          <w:szCs w:val="18"/>
        </w:rPr>
        <w:t xml:space="preserve"> Prosthet</w:t>
      </w:r>
      <w:r w:rsidR="000F5291">
        <w:rPr>
          <w:rFonts w:asciiTheme="majorBidi" w:eastAsia="Times New Roman" w:hAnsiTheme="majorBidi" w:cstheme="majorBidi"/>
          <w:noProof/>
          <w:sz w:val="18"/>
          <w:szCs w:val="18"/>
        </w:rPr>
        <w:t>ic</w:t>
      </w:r>
      <w:r w:rsidRPr="00010AB3">
        <w:rPr>
          <w:rFonts w:asciiTheme="majorBidi" w:eastAsia="Times New Roman" w:hAnsiTheme="majorBidi" w:cstheme="majorBidi"/>
          <w:noProof/>
          <w:sz w:val="18"/>
          <w:szCs w:val="18"/>
        </w:rPr>
        <w:t xml:space="preserve"> Dent</w:t>
      </w:r>
      <w:r w:rsidR="000F5291">
        <w:rPr>
          <w:rFonts w:asciiTheme="majorBidi" w:eastAsia="Times New Roman" w:hAnsiTheme="majorBidi" w:cstheme="majorBidi"/>
          <w:noProof/>
          <w:sz w:val="18"/>
          <w:szCs w:val="18"/>
        </w:rPr>
        <w:t>istry 112:182-187</w:t>
      </w:r>
      <w:r w:rsidRPr="00010AB3">
        <w:rPr>
          <w:rFonts w:asciiTheme="majorBidi" w:eastAsia="Times New Roman" w:hAnsiTheme="majorBidi" w:cstheme="majorBidi"/>
          <w:noProof/>
          <w:sz w:val="18"/>
          <w:szCs w:val="18"/>
        </w:rPr>
        <w:t xml:space="preserve">. </w:t>
      </w:r>
    </w:p>
    <w:p w:rsidR="00010AB3" w:rsidRPr="00010AB3" w:rsidRDefault="00010AB3" w:rsidP="00010AB3">
      <w:pPr>
        <w:pStyle w:val="ListParagraph"/>
        <w:numPr>
          <w:ilvl w:val="0"/>
          <w:numId w:val="1"/>
        </w:numPr>
        <w:bidi w:val="0"/>
        <w:spacing w:after="0" w:line="360" w:lineRule="auto"/>
        <w:ind w:right="-142"/>
        <w:jc w:val="both"/>
        <w:rPr>
          <w:rFonts w:asciiTheme="majorBidi" w:eastAsia="Times New Roman" w:hAnsiTheme="majorBidi" w:cstheme="majorBidi"/>
          <w:noProof/>
          <w:sz w:val="18"/>
          <w:szCs w:val="18"/>
        </w:rPr>
      </w:pPr>
      <w:r w:rsidRPr="00010AB3">
        <w:rPr>
          <w:rFonts w:asciiTheme="majorBidi" w:eastAsia="Times New Roman" w:hAnsiTheme="majorBidi" w:cstheme="majorBidi"/>
          <w:noProof/>
          <w:sz w:val="18"/>
          <w:szCs w:val="18"/>
        </w:rPr>
        <w:t>Ki</w:t>
      </w:r>
      <w:r w:rsidR="000F5291">
        <w:rPr>
          <w:rFonts w:asciiTheme="majorBidi" w:eastAsia="Times New Roman" w:hAnsiTheme="majorBidi" w:cstheme="majorBidi"/>
          <w:noProof/>
          <w:sz w:val="18"/>
          <w:szCs w:val="18"/>
        </w:rPr>
        <w:t>m J, Chae S, Lee Y (2015)</w:t>
      </w:r>
      <w:r w:rsidRPr="00010AB3">
        <w:rPr>
          <w:rFonts w:asciiTheme="majorBidi" w:eastAsia="Times New Roman" w:hAnsiTheme="majorBidi" w:cstheme="majorBidi"/>
          <w:noProof/>
          <w:sz w:val="18"/>
          <w:szCs w:val="18"/>
        </w:rPr>
        <w:t>. Effects of multipurpose, universal adhesives on resin bonding to zirconia ceramic. Oper</w:t>
      </w:r>
      <w:r w:rsidR="000F5291">
        <w:rPr>
          <w:rFonts w:asciiTheme="majorBidi" w:eastAsia="Times New Roman" w:hAnsiTheme="majorBidi" w:cstheme="majorBidi"/>
          <w:noProof/>
          <w:sz w:val="18"/>
          <w:szCs w:val="18"/>
        </w:rPr>
        <w:t>ative</w:t>
      </w:r>
      <w:r w:rsidRPr="00010AB3">
        <w:rPr>
          <w:rFonts w:asciiTheme="majorBidi" w:eastAsia="Times New Roman" w:hAnsiTheme="majorBidi" w:cstheme="majorBidi"/>
          <w:noProof/>
          <w:sz w:val="18"/>
          <w:szCs w:val="18"/>
        </w:rPr>
        <w:t xml:space="preserve"> Dent</w:t>
      </w:r>
      <w:r w:rsidR="000F5291">
        <w:rPr>
          <w:rFonts w:asciiTheme="majorBidi" w:eastAsia="Times New Roman" w:hAnsiTheme="majorBidi" w:cstheme="majorBidi"/>
          <w:noProof/>
          <w:sz w:val="18"/>
          <w:szCs w:val="18"/>
        </w:rPr>
        <w:t>istry 40</w:t>
      </w:r>
      <w:r w:rsidRPr="00010AB3">
        <w:rPr>
          <w:rFonts w:asciiTheme="majorBidi" w:eastAsia="Times New Roman" w:hAnsiTheme="majorBidi" w:cstheme="majorBidi"/>
          <w:noProof/>
          <w:sz w:val="18"/>
          <w:szCs w:val="18"/>
        </w:rPr>
        <w:t>:55-62.</w:t>
      </w:r>
      <w:r w:rsidRPr="00010AB3">
        <w:rPr>
          <w:rFonts w:asciiTheme="majorBidi" w:eastAsia="Times New Roman" w:hAnsiTheme="majorBidi" w:cstheme="majorBidi"/>
          <w:noProof/>
          <w:sz w:val="18"/>
          <w:szCs w:val="18"/>
          <w:rtl/>
        </w:rPr>
        <w:t xml:space="preserve"> </w:t>
      </w:r>
    </w:p>
    <w:p w:rsidR="00010AB3" w:rsidRPr="00010AB3" w:rsidRDefault="00010AB3" w:rsidP="00010AB3">
      <w:pPr>
        <w:pStyle w:val="ListParagraph"/>
        <w:numPr>
          <w:ilvl w:val="0"/>
          <w:numId w:val="1"/>
        </w:numPr>
        <w:bidi w:val="0"/>
        <w:spacing w:after="0" w:line="360" w:lineRule="auto"/>
        <w:ind w:right="-142"/>
        <w:jc w:val="both"/>
        <w:rPr>
          <w:rFonts w:asciiTheme="majorBidi" w:eastAsia="Times New Roman" w:hAnsiTheme="majorBidi" w:cstheme="majorBidi"/>
          <w:noProof/>
          <w:sz w:val="18"/>
          <w:szCs w:val="18"/>
        </w:rPr>
      </w:pPr>
      <w:r w:rsidRPr="00010AB3">
        <w:rPr>
          <w:rFonts w:asciiTheme="majorBidi" w:eastAsia="Times New Roman" w:hAnsiTheme="majorBidi" w:cstheme="majorBidi"/>
          <w:noProof/>
          <w:sz w:val="18"/>
          <w:szCs w:val="18"/>
          <w:rtl/>
        </w:rPr>
        <w:t xml:space="preserve">  </w:t>
      </w:r>
      <w:r w:rsidRPr="00010AB3">
        <w:rPr>
          <w:rFonts w:asciiTheme="majorBidi" w:eastAsia="Times New Roman" w:hAnsiTheme="majorBidi" w:cstheme="majorBidi"/>
          <w:noProof/>
          <w:sz w:val="18"/>
          <w:szCs w:val="18"/>
        </w:rPr>
        <w:t>Suzuki T, T</w:t>
      </w:r>
      <w:r w:rsidR="000F5291">
        <w:rPr>
          <w:rFonts w:asciiTheme="majorBidi" w:eastAsia="Times New Roman" w:hAnsiTheme="majorBidi" w:cstheme="majorBidi"/>
          <w:noProof/>
          <w:sz w:val="18"/>
          <w:szCs w:val="18"/>
        </w:rPr>
        <w:t>akamizawa T (2016)</w:t>
      </w:r>
      <w:r w:rsidRPr="00010AB3">
        <w:rPr>
          <w:rFonts w:asciiTheme="majorBidi" w:eastAsia="Times New Roman" w:hAnsiTheme="majorBidi" w:cstheme="majorBidi"/>
          <w:noProof/>
          <w:sz w:val="18"/>
          <w:szCs w:val="18"/>
        </w:rPr>
        <w:t>. Influence of etching mode on enamel bond durability of universal adhesive systems. Oper</w:t>
      </w:r>
      <w:r w:rsidR="000F5291">
        <w:rPr>
          <w:rFonts w:asciiTheme="majorBidi" w:eastAsia="Times New Roman" w:hAnsiTheme="majorBidi" w:cstheme="majorBidi"/>
          <w:noProof/>
          <w:sz w:val="18"/>
          <w:szCs w:val="18"/>
        </w:rPr>
        <w:t>ative</w:t>
      </w:r>
      <w:r w:rsidRPr="00010AB3">
        <w:rPr>
          <w:rFonts w:asciiTheme="majorBidi" w:eastAsia="Times New Roman" w:hAnsiTheme="majorBidi" w:cstheme="majorBidi"/>
          <w:noProof/>
          <w:sz w:val="18"/>
          <w:szCs w:val="18"/>
        </w:rPr>
        <w:t xml:space="preserve"> Dent</w:t>
      </w:r>
      <w:r w:rsidR="000F5291">
        <w:rPr>
          <w:rFonts w:asciiTheme="majorBidi" w:eastAsia="Times New Roman" w:hAnsiTheme="majorBidi" w:cstheme="majorBidi"/>
          <w:noProof/>
          <w:sz w:val="18"/>
          <w:szCs w:val="18"/>
        </w:rPr>
        <w:t>istry. 41</w:t>
      </w:r>
      <w:r w:rsidRPr="00010AB3">
        <w:rPr>
          <w:rFonts w:asciiTheme="majorBidi" w:eastAsia="Times New Roman" w:hAnsiTheme="majorBidi" w:cstheme="majorBidi"/>
          <w:noProof/>
          <w:sz w:val="18"/>
          <w:szCs w:val="18"/>
        </w:rPr>
        <w:t>:520-</w:t>
      </w:r>
      <w:r w:rsidR="000F5291">
        <w:rPr>
          <w:rFonts w:asciiTheme="majorBidi" w:eastAsia="Times New Roman" w:hAnsiTheme="majorBidi" w:cstheme="majorBidi"/>
          <w:noProof/>
          <w:sz w:val="18"/>
          <w:szCs w:val="18"/>
        </w:rPr>
        <w:t>5</w:t>
      </w:r>
      <w:r w:rsidRPr="00010AB3">
        <w:rPr>
          <w:rFonts w:asciiTheme="majorBidi" w:eastAsia="Times New Roman" w:hAnsiTheme="majorBidi" w:cstheme="majorBidi"/>
          <w:noProof/>
          <w:sz w:val="18"/>
          <w:szCs w:val="18"/>
        </w:rPr>
        <w:t>30.</w:t>
      </w:r>
    </w:p>
    <w:p w:rsidR="00010AB3" w:rsidRPr="00010AB3" w:rsidRDefault="000F5291" w:rsidP="00010AB3">
      <w:pPr>
        <w:pStyle w:val="ListParagraph"/>
        <w:numPr>
          <w:ilvl w:val="0"/>
          <w:numId w:val="1"/>
        </w:numPr>
        <w:bidi w:val="0"/>
        <w:spacing w:after="0" w:line="360" w:lineRule="auto"/>
        <w:ind w:right="-142"/>
        <w:jc w:val="both"/>
        <w:rPr>
          <w:rFonts w:asciiTheme="majorBidi" w:eastAsia="Times New Roman" w:hAnsiTheme="majorBidi" w:cstheme="majorBidi"/>
          <w:noProof/>
          <w:sz w:val="18"/>
          <w:szCs w:val="18"/>
        </w:rPr>
      </w:pPr>
      <w:r>
        <w:rPr>
          <w:rFonts w:asciiTheme="majorBidi" w:eastAsia="Times New Roman" w:hAnsiTheme="majorBidi" w:cstheme="majorBidi"/>
          <w:noProof/>
          <w:sz w:val="18"/>
          <w:szCs w:val="18"/>
        </w:rPr>
        <w:t>Rosa WL, Piva E (2015)</w:t>
      </w:r>
      <w:r w:rsidR="00010AB3" w:rsidRPr="00010AB3">
        <w:rPr>
          <w:rFonts w:asciiTheme="majorBidi" w:eastAsia="Times New Roman" w:hAnsiTheme="majorBidi" w:cstheme="majorBidi"/>
          <w:noProof/>
          <w:sz w:val="18"/>
          <w:szCs w:val="18"/>
        </w:rPr>
        <w:t>. Bond strength of universal adhesives: A systematic review and meta-analysis. J</w:t>
      </w:r>
      <w:r>
        <w:rPr>
          <w:rFonts w:asciiTheme="majorBidi" w:eastAsia="Times New Roman" w:hAnsiTheme="majorBidi" w:cstheme="majorBidi"/>
          <w:noProof/>
          <w:sz w:val="18"/>
          <w:szCs w:val="18"/>
        </w:rPr>
        <w:t xml:space="preserve">ournal of </w:t>
      </w:r>
      <w:r w:rsidR="00010AB3" w:rsidRPr="00010AB3">
        <w:rPr>
          <w:rFonts w:asciiTheme="majorBidi" w:eastAsia="Times New Roman" w:hAnsiTheme="majorBidi" w:cstheme="majorBidi"/>
          <w:noProof/>
          <w:sz w:val="18"/>
          <w:szCs w:val="18"/>
        </w:rPr>
        <w:t xml:space="preserve"> Dent</w:t>
      </w:r>
      <w:r>
        <w:rPr>
          <w:rFonts w:asciiTheme="majorBidi" w:eastAsia="Times New Roman" w:hAnsiTheme="majorBidi" w:cstheme="majorBidi"/>
          <w:noProof/>
          <w:sz w:val="18"/>
          <w:szCs w:val="18"/>
        </w:rPr>
        <w:t xml:space="preserve">istry </w:t>
      </w:r>
      <w:r>
        <w:rPr>
          <w:rFonts w:asciiTheme="majorBidi" w:hAnsiTheme="majorBidi" w:cstheme="majorBidi"/>
          <w:noProof/>
          <w:sz w:val="18"/>
          <w:szCs w:val="18"/>
        </w:rPr>
        <w:t>43</w:t>
      </w:r>
      <w:r w:rsidR="00010AB3" w:rsidRPr="00010AB3">
        <w:rPr>
          <w:rFonts w:asciiTheme="majorBidi" w:hAnsiTheme="majorBidi" w:cstheme="majorBidi"/>
          <w:noProof/>
          <w:sz w:val="18"/>
          <w:szCs w:val="18"/>
        </w:rPr>
        <w:t>:765-</w:t>
      </w:r>
      <w:r>
        <w:rPr>
          <w:rFonts w:asciiTheme="majorBidi" w:hAnsiTheme="majorBidi" w:cstheme="majorBidi"/>
          <w:noProof/>
          <w:sz w:val="18"/>
          <w:szCs w:val="18"/>
        </w:rPr>
        <w:t>7</w:t>
      </w:r>
      <w:r w:rsidR="00010AB3" w:rsidRPr="00010AB3">
        <w:rPr>
          <w:rFonts w:asciiTheme="majorBidi" w:hAnsiTheme="majorBidi" w:cstheme="majorBidi"/>
          <w:noProof/>
          <w:sz w:val="18"/>
          <w:szCs w:val="18"/>
        </w:rPr>
        <w:t>76</w:t>
      </w:r>
      <w:r>
        <w:rPr>
          <w:rFonts w:asciiTheme="majorBidi" w:hAnsiTheme="majorBidi" w:cstheme="majorBidi"/>
          <w:noProof/>
          <w:sz w:val="18"/>
          <w:szCs w:val="18"/>
        </w:rPr>
        <w:t>.</w:t>
      </w:r>
    </w:p>
    <w:p w:rsidR="00010AB3" w:rsidRDefault="00010AB3" w:rsidP="00DE21FF">
      <w:pPr>
        <w:rPr>
          <w:rFonts w:asciiTheme="minorBidi" w:hAnsiTheme="minorBidi"/>
          <w:color w:val="4F81BD" w:themeColor="accent1"/>
          <w:sz w:val="18"/>
          <w:szCs w:val="18"/>
        </w:rPr>
      </w:pPr>
    </w:p>
    <w:p w:rsidR="006A2101" w:rsidRDefault="006A2101" w:rsidP="00DE21FF">
      <w:pPr>
        <w:rPr>
          <w:rFonts w:asciiTheme="minorBidi" w:hAnsiTheme="minorBidi"/>
          <w:color w:val="4F81BD" w:themeColor="accent1"/>
          <w:sz w:val="18"/>
          <w:szCs w:val="18"/>
        </w:rPr>
      </w:pPr>
    </w:p>
    <w:p w:rsidR="006A2101" w:rsidRDefault="006A2101" w:rsidP="00DE21FF">
      <w:pPr>
        <w:rPr>
          <w:rFonts w:asciiTheme="minorBidi" w:hAnsiTheme="minorBidi"/>
          <w:color w:val="4F81BD" w:themeColor="accent1"/>
          <w:sz w:val="18"/>
          <w:szCs w:val="18"/>
        </w:rPr>
      </w:pPr>
    </w:p>
    <w:p w:rsidR="006A2101" w:rsidRDefault="006A2101" w:rsidP="006A2101">
      <w:pPr>
        <w:rPr>
          <w:rFonts w:asciiTheme="minorBidi" w:hAnsiTheme="minorBidi"/>
          <w:b/>
          <w:color w:val="4F81BD" w:themeColor="accent1"/>
          <w:sz w:val="18"/>
          <w:szCs w:val="18"/>
        </w:rPr>
        <w:sectPr w:rsidR="006A2101" w:rsidSect="00DE21FF">
          <w:type w:val="continuous"/>
          <w:pgSz w:w="12240" w:h="15840"/>
          <w:pgMar w:top="1440" w:right="1440" w:bottom="1440" w:left="1440" w:header="720" w:footer="720" w:gutter="0"/>
          <w:cols w:num="2" w:space="720"/>
          <w:docGrid w:linePitch="360"/>
        </w:sectPr>
      </w:pPr>
    </w:p>
    <w:p w:rsidR="006A2101" w:rsidRDefault="006A2101" w:rsidP="006A2101">
      <w:pPr>
        <w:spacing w:line="360" w:lineRule="auto"/>
        <w:rPr>
          <w:rFonts w:asciiTheme="majorBidi" w:hAnsiTheme="majorBidi" w:cstheme="majorBidi"/>
          <w:b/>
          <w:sz w:val="18"/>
          <w:szCs w:val="18"/>
        </w:rPr>
      </w:pPr>
    </w:p>
    <w:p w:rsidR="006A2101" w:rsidRDefault="006A2101" w:rsidP="006A2101">
      <w:pPr>
        <w:spacing w:line="360" w:lineRule="auto"/>
        <w:rPr>
          <w:rFonts w:asciiTheme="majorBidi" w:hAnsiTheme="majorBidi" w:cstheme="majorBidi"/>
          <w:b/>
          <w:sz w:val="18"/>
          <w:szCs w:val="18"/>
        </w:rPr>
      </w:pPr>
    </w:p>
    <w:p w:rsidR="000F5291" w:rsidRDefault="000F5291" w:rsidP="006A2101">
      <w:pPr>
        <w:spacing w:line="360" w:lineRule="auto"/>
        <w:rPr>
          <w:rFonts w:asciiTheme="majorBidi" w:hAnsiTheme="majorBidi" w:cstheme="majorBidi"/>
          <w:b/>
          <w:sz w:val="18"/>
          <w:szCs w:val="18"/>
        </w:rPr>
      </w:pPr>
      <w:bookmarkStart w:id="0" w:name="_GoBack"/>
      <w:r>
        <w:rPr>
          <w:rFonts w:asciiTheme="majorBidi" w:hAnsiTheme="majorBidi" w:cstheme="majorBidi"/>
          <w:b/>
          <w:noProof/>
          <w:sz w:val="18"/>
          <w:szCs w:val="18"/>
        </w:rPr>
        <w:lastRenderedPageBreak/>
        <w:drawing>
          <wp:inline distT="0" distB="0" distL="0" distR="0" wp14:anchorId="0664176E">
            <wp:extent cx="895350" cy="102472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3470" cy="1022569"/>
                    </a:xfrm>
                    <a:prstGeom prst="rect">
                      <a:avLst/>
                    </a:prstGeom>
                    <a:noFill/>
                  </pic:spPr>
                </pic:pic>
              </a:graphicData>
            </a:graphic>
          </wp:inline>
        </w:drawing>
      </w:r>
      <w:bookmarkEnd w:id="0"/>
    </w:p>
    <w:p w:rsidR="006A2101" w:rsidRPr="006A2101" w:rsidRDefault="006A2101" w:rsidP="006A2101">
      <w:pPr>
        <w:spacing w:line="360" w:lineRule="auto"/>
        <w:rPr>
          <w:rFonts w:asciiTheme="majorBidi" w:hAnsiTheme="majorBidi" w:cstheme="majorBidi"/>
          <w:b/>
          <w:sz w:val="18"/>
          <w:szCs w:val="18"/>
        </w:rPr>
      </w:pPr>
      <w:r w:rsidRPr="006A2101">
        <w:rPr>
          <w:rFonts w:asciiTheme="majorBidi" w:hAnsiTheme="majorBidi" w:cstheme="majorBidi"/>
          <w:b/>
          <w:sz w:val="18"/>
          <w:szCs w:val="18"/>
        </w:rPr>
        <w:t>Biography</w:t>
      </w:r>
    </w:p>
    <w:p w:rsidR="006A2101" w:rsidRDefault="006A2101" w:rsidP="006A2101">
      <w:pPr>
        <w:spacing w:line="360" w:lineRule="auto"/>
        <w:rPr>
          <w:rFonts w:asciiTheme="majorBidi" w:hAnsiTheme="majorBidi" w:cstheme="majorBidi"/>
          <w:sz w:val="18"/>
          <w:szCs w:val="18"/>
        </w:rPr>
      </w:pPr>
      <w:proofErr w:type="spellStart"/>
      <w:r w:rsidRPr="006A2101">
        <w:rPr>
          <w:rFonts w:asciiTheme="majorBidi" w:hAnsiTheme="majorBidi" w:cstheme="majorBidi"/>
          <w:sz w:val="18"/>
          <w:szCs w:val="18"/>
        </w:rPr>
        <w:t>A</w:t>
      </w:r>
      <w:r>
        <w:rPr>
          <w:rFonts w:asciiTheme="majorBidi" w:hAnsiTheme="majorBidi" w:cstheme="majorBidi"/>
          <w:sz w:val="18"/>
          <w:szCs w:val="18"/>
        </w:rPr>
        <w:t>rman</w:t>
      </w:r>
      <w:proofErr w:type="spellEnd"/>
      <w:r w:rsidRPr="006A2101">
        <w:rPr>
          <w:rFonts w:asciiTheme="majorBidi" w:hAnsiTheme="majorBidi" w:cstheme="majorBidi"/>
          <w:sz w:val="18"/>
          <w:szCs w:val="18"/>
        </w:rPr>
        <w:t xml:space="preserve"> </w:t>
      </w:r>
      <w:proofErr w:type="spellStart"/>
      <w:r w:rsidRPr="006A2101">
        <w:rPr>
          <w:rFonts w:asciiTheme="majorBidi" w:hAnsiTheme="majorBidi" w:cstheme="majorBidi"/>
          <w:sz w:val="18"/>
          <w:szCs w:val="18"/>
        </w:rPr>
        <w:t>Salehi</w:t>
      </w:r>
      <w:proofErr w:type="spellEnd"/>
      <w:r w:rsidRPr="006A2101">
        <w:rPr>
          <w:rFonts w:asciiTheme="majorBidi" w:hAnsiTheme="majorBidi" w:cstheme="majorBidi"/>
          <w:sz w:val="18"/>
          <w:szCs w:val="18"/>
        </w:rPr>
        <w:t xml:space="preserve"> obtained his Doctorate of Dental Surgery (DDS) from Kerman Dental School (2007), Iran. He obtained his PhD degree from Department of Operative Dentistry, School of Dentistry, Isfahan University of Medical Sciences, </w:t>
      </w:r>
      <w:proofErr w:type="gramStart"/>
      <w:r w:rsidRPr="006A2101">
        <w:rPr>
          <w:rFonts w:asciiTheme="majorBidi" w:hAnsiTheme="majorBidi" w:cstheme="majorBidi"/>
          <w:sz w:val="18"/>
          <w:szCs w:val="18"/>
        </w:rPr>
        <w:t>Iran,</w:t>
      </w:r>
      <w:proofErr w:type="gramEnd"/>
      <w:r w:rsidRPr="006A2101">
        <w:rPr>
          <w:rFonts w:asciiTheme="majorBidi" w:hAnsiTheme="majorBidi" w:cstheme="majorBidi"/>
          <w:sz w:val="18"/>
          <w:szCs w:val="18"/>
        </w:rPr>
        <w:t xml:space="preserve"> He is working as an Assistant Professor for the same department, </w:t>
      </w:r>
      <w:proofErr w:type="spellStart"/>
      <w:r w:rsidRPr="006A2101">
        <w:rPr>
          <w:rFonts w:asciiTheme="majorBidi" w:hAnsiTheme="majorBidi" w:cstheme="majorBidi"/>
          <w:sz w:val="18"/>
          <w:szCs w:val="18"/>
        </w:rPr>
        <w:t>Rafsanjan</w:t>
      </w:r>
      <w:proofErr w:type="spellEnd"/>
      <w:r w:rsidRPr="006A2101">
        <w:rPr>
          <w:rFonts w:asciiTheme="majorBidi" w:hAnsiTheme="majorBidi" w:cstheme="majorBidi"/>
          <w:sz w:val="18"/>
          <w:szCs w:val="18"/>
        </w:rPr>
        <w:t xml:space="preserve"> University of Medical Sciences, Iran. He has around five national and international publications and has attended various conferences. He has his own private practice in </w:t>
      </w:r>
      <w:proofErr w:type="spellStart"/>
      <w:r w:rsidRPr="006A2101">
        <w:rPr>
          <w:rFonts w:asciiTheme="majorBidi" w:hAnsiTheme="majorBidi" w:cstheme="majorBidi"/>
          <w:sz w:val="18"/>
          <w:szCs w:val="18"/>
        </w:rPr>
        <w:t>Rafsanjan</w:t>
      </w:r>
      <w:proofErr w:type="spellEnd"/>
      <w:r w:rsidRPr="006A2101">
        <w:rPr>
          <w:rFonts w:asciiTheme="majorBidi" w:hAnsiTheme="majorBidi" w:cstheme="majorBidi"/>
          <w:sz w:val="18"/>
          <w:szCs w:val="18"/>
        </w:rPr>
        <w:t xml:space="preserve"> city.</w:t>
      </w:r>
    </w:p>
    <w:p w:rsidR="006A2101" w:rsidRPr="006A2101" w:rsidRDefault="006A2101" w:rsidP="006A2101">
      <w:pPr>
        <w:spacing w:line="360" w:lineRule="auto"/>
        <w:rPr>
          <w:rFonts w:asciiTheme="majorBidi" w:hAnsiTheme="majorBidi" w:cstheme="majorBidi"/>
          <w:color w:val="1F497D" w:themeColor="text2"/>
          <w:sz w:val="18"/>
          <w:szCs w:val="18"/>
        </w:rPr>
      </w:pPr>
      <w:r w:rsidRPr="006A2101">
        <w:rPr>
          <w:rFonts w:asciiTheme="majorBidi" w:hAnsiTheme="majorBidi" w:cstheme="majorBidi"/>
          <w:sz w:val="18"/>
          <w:szCs w:val="18"/>
          <w:lang w:val="en-NZ"/>
        </w:rPr>
        <w:br/>
        <w:t>Contact number: 00989133405149</w:t>
      </w:r>
      <w:r w:rsidRPr="006A2101">
        <w:rPr>
          <w:rFonts w:asciiTheme="majorBidi" w:hAnsiTheme="majorBidi" w:cstheme="majorBidi"/>
          <w:sz w:val="18"/>
          <w:szCs w:val="18"/>
          <w:lang w:val="en-NZ"/>
        </w:rPr>
        <w:br/>
        <w:t xml:space="preserve">Email: </w:t>
      </w:r>
      <w:hyperlink r:id="rId7" w:history="1">
        <w:r w:rsidRPr="006A2101">
          <w:rPr>
            <w:rStyle w:val="Hyperlink"/>
            <w:rFonts w:asciiTheme="majorBidi" w:hAnsiTheme="majorBidi" w:cstheme="majorBidi"/>
            <w:color w:val="1F497D" w:themeColor="text2"/>
            <w:sz w:val="18"/>
            <w:szCs w:val="18"/>
            <w:lang w:val="en-NZ"/>
          </w:rPr>
          <w:t>armansalehi1984@gmail.com</w:t>
        </w:r>
      </w:hyperlink>
    </w:p>
    <w:p w:rsidR="006A2101" w:rsidRPr="00010AB3" w:rsidRDefault="006A2101" w:rsidP="00DE21FF">
      <w:pPr>
        <w:rPr>
          <w:rFonts w:asciiTheme="minorBidi" w:hAnsiTheme="minorBidi"/>
          <w:color w:val="4F81BD" w:themeColor="accent1"/>
          <w:sz w:val="18"/>
          <w:szCs w:val="18"/>
        </w:rPr>
        <w:sectPr w:rsidR="006A2101" w:rsidRPr="00010AB3" w:rsidSect="006A2101">
          <w:type w:val="continuous"/>
          <w:pgSz w:w="12240" w:h="15840"/>
          <w:pgMar w:top="1440" w:right="1440" w:bottom="1440" w:left="1440" w:header="720" w:footer="720" w:gutter="0"/>
          <w:cols w:space="720"/>
          <w:docGrid w:linePitch="360"/>
        </w:sectPr>
      </w:pPr>
    </w:p>
    <w:p w:rsidR="00DE21FF" w:rsidRPr="00010AB3" w:rsidRDefault="00DE21FF" w:rsidP="00DE21FF">
      <w:pPr>
        <w:rPr>
          <w:rFonts w:asciiTheme="minorBidi" w:hAnsiTheme="minorBidi"/>
          <w:color w:val="4F81BD" w:themeColor="accent1"/>
          <w:sz w:val="18"/>
          <w:szCs w:val="18"/>
        </w:rPr>
      </w:pPr>
    </w:p>
    <w:sectPr w:rsidR="00DE21FF" w:rsidRPr="00010AB3" w:rsidSect="00DE21F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C4A78"/>
    <w:multiLevelType w:val="hybridMultilevel"/>
    <w:tmpl w:val="219E1E90"/>
    <w:lvl w:ilvl="0" w:tplc="548A87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1FF"/>
    <w:rsid w:val="0000092C"/>
    <w:rsid w:val="00001F3E"/>
    <w:rsid w:val="00010AB3"/>
    <w:rsid w:val="00013363"/>
    <w:rsid w:val="00013F3C"/>
    <w:rsid w:val="000246E9"/>
    <w:rsid w:val="000256F5"/>
    <w:rsid w:val="00027916"/>
    <w:rsid w:val="00031436"/>
    <w:rsid w:val="00045699"/>
    <w:rsid w:val="00046789"/>
    <w:rsid w:val="00057F20"/>
    <w:rsid w:val="000731A2"/>
    <w:rsid w:val="00087148"/>
    <w:rsid w:val="00087EBD"/>
    <w:rsid w:val="0009051B"/>
    <w:rsid w:val="00096B66"/>
    <w:rsid w:val="000A2DE5"/>
    <w:rsid w:val="000A31FA"/>
    <w:rsid w:val="000A5465"/>
    <w:rsid w:val="000C053B"/>
    <w:rsid w:val="000C0E7D"/>
    <w:rsid w:val="000C3AA4"/>
    <w:rsid w:val="000C7ADA"/>
    <w:rsid w:val="000D1B55"/>
    <w:rsid w:val="000D2D27"/>
    <w:rsid w:val="000D32F7"/>
    <w:rsid w:val="000D51C5"/>
    <w:rsid w:val="000D673C"/>
    <w:rsid w:val="000E23AC"/>
    <w:rsid w:val="000E554E"/>
    <w:rsid w:val="000E5ADC"/>
    <w:rsid w:val="000F05B7"/>
    <w:rsid w:val="000F0C70"/>
    <w:rsid w:val="000F346F"/>
    <w:rsid w:val="000F5291"/>
    <w:rsid w:val="000F7182"/>
    <w:rsid w:val="00105D47"/>
    <w:rsid w:val="00114757"/>
    <w:rsid w:val="00114A54"/>
    <w:rsid w:val="00117A8F"/>
    <w:rsid w:val="00117F02"/>
    <w:rsid w:val="001241E9"/>
    <w:rsid w:val="00127C53"/>
    <w:rsid w:val="00134523"/>
    <w:rsid w:val="001359E2"/>
    <w:rsid w:val="0014131D"/>
    <w:rsid w:val="00150EE4"/>
    <w:rsid w:val="001524FC"/>
    <w:rsid w:val="00154936"/>
    <w:rsid w:val="00160150"/>
    <w:rsid w:val="00162626"/>
    <w:rsid w:val="00175B3B"/>
    <w:rsid w:val="00194CA7"/>
    <w:rsid w:val="001954A2"/>
    <w:rsid w:val="001A14AD"/>
    <w:rsid w:val="001C1F97"/>
    <w:rsid w:val="001C2C6A"/>
    <w:rsid w:val="001C7449"/>
    <w:rsid w:val="001D0384"/>
    <w:rsid w:val="001D2BC4"/>
    <w:rsid w:val="001E3E77"/>
    <w:rsid w:val="001E4F3B"/>
    <w:rsid w:val="001F0AC6"/>
    <w:rsid w:val="001F15D4"/>
    <w:rsid w:val="001F2FF0"/>
    <w:rsid w:val="001F4610"/>
    <w:rsid w:val="001F67A8"/>
    <w:rsid w:val="00202F76"/>
    <w:rsid w:val="00205178"/>
    <w:rsid w:val="002121A9"/>
    <w:rsid w:val="0021489A"/>
    <w:rsid w:val="00223906"/>
    <w:rsid w:val="002426A3"/>
    <w:rsid w:val="00251165"/>
    <w:rsid w:val="00252AAE"/>
    <w:rsid w:val="002637C1"/>
    <w:rsid w:val="00264A79"/>
    <w:rsid w:val="00267BE2"/>
    <w:rsid w:val="002751D4"/>
    <w:rsid w:val="00285DA4"/>
    <w:rsid w:val="00290B83"/>
    <w:rsid w:val="00293B13"/>
    <w:rsid w:val="002A565F"/>
    <w:rsid w:val="002B7332"/>
    <w:rsid w:val="002C0647"/>
    <w:rsid w:val="002C6D9F"/>
    <w:rsid w:val="002D02B4"/>
    <w:rsid w:val="002D6CFC"/>
    <w:rsid w:val="002E3503"/>
    <w:rsid w:val="002F14E4"/>
    <w:rsid w:val="002F2794"/>
    <w:rsid w:val="003000CE"/>
    <w:rsid w:val="003006DA"/>
    <w:rsid w:val="00302DD2"/>
    <w:rsid w:val="00305371"/>
    <w:rsid w:val="00311538"/>
    <w:rsid w:val="00313CD3"/>
    <w:rsid w:val="003311E6"/>
    <w:rsid w:val="00334A62"/>
    <w:rsid w:val="00342A52"/>
    <w:rsid w:val="0035136D"/>
    <w:rsid w:val="003609B4"/>
    <w:rsid w:val="00370057"/>
    <w:rsid w:val="003742DD"/>
    <w:rsid w:val="00374DC7"/>
    <w:rsid w:val="00376A6C"/>
    <w:rsid w:val="00381AAF"/>
    <w:rsid w:val="003904D8"/>
    <w:rsid w:val="00391C31"/>
    <w:rsid w:val="00393F18"/>
    <w:rsid w:val="003942D2"/>
    <w:rsid w:val="003A2BC1"/>
    <w:rsid w:val="003A3D85"/>
    <w:rsid w:val="003A4E06"/>
    <w:rsid w:val="003A6243"/>
    <w:rsid w:val="003C25E4"/>
    <w:rsid w:val="003C537B"/>
    <w:rsid w:val="003C5F71"/>
    <w:rsid w:val="003E0343"/>
    <w:rsid w:val="003E2D05"/>
    <w:rsid w:val="003E628E"/>
    <w:rsid w:val="003F2279"/>
    <w:rsid w:val="003F35E1"/>
    <w:rsid w:val="0042601B"/>
    <w:rsid w:val="00433A55"/>
    <w:rsid w:val="0043676C"/>
    <w:rsid w:val="00436900"/>
    <w:rsid w:val="00436BAF"/>
    <w:rsid w:val="00440347"/>
    <w:rsid w:val="00441EAA"/>
    <w:rsid w:val="00445EBC"/>
    <w:rsid w:val="00457EAA"/>
    <w:rsid w:val="00470D51"/>
    <w:rsid w:val="00471E69"/>
    <w:rsid w:val="0047464B"/>
    <w:rsid w:val="00475F1E"/>
    <w:rsid w:val="00483A65"/>
    <w:rsid w:val="0049112F"/>
    <w:rsid w:val="00492386"/>
    <w:rsid w:val="00493D84"/>
    <w:rsid w:val="004A0A71"/>
    <w:rsid w:val="004A1F0C"/>
    <w:rsid w:val="004B28B2"/>
    <w:rsid w:val="004B64B8"/>
    <w:rsid w:val="004B6FE9"/>
    <w:rsid w:val="004C7322"/>
    <w:rsid w:val="004D4E8E"/>
    <w:rsid w:val="004D6DD6"/>
    <w:rsid w:val="004E1638"/>
    <w:rsid w:val="004E32BB"/>
    <w:rsid w:val="004F1F7E"/>
    <w:rsid w:val="005040EA"/>
    <w:rsid w:val="005066B9"/>
    <w:rsid w:val="005129CA"/>
    <w:rsid w:val="00515118"/>
    <w:rsid w:val="00520C47"/>
    <w:rsid w:val="00535743"/>
    <w:rsid w:val="00540F5A"/>
    <w:rsid w:val="00543465"/>
    <w:rsid w:val="00543851"/>
    <w:rsid w:val="0054682C"/>
    <w:rsid w:val="00554641"/>
    <w:rsid w:val="00562E6D"/>
    <w:rsid w:val="005702BF"/>
    <w:rsid w:val="005838B8"/>
    <w:rsid w:val="00586338"/>
    <w:rsid w:val="00587EFD"/>
    <w:rsid w:val="005914E3"/>
    <w:rsid w:val="0059163B"/>
    <w:rsid w:val="005A60B1"/>
    <w:rsid w:val="005B3DF1"/>
    <w:rsid w:val="005B5EE6"/>
    <w:rsid w:val="005B601D"/>
    <w:rsid w:val="005C1E83"/>
    <w:rsid w:val="005D2483"/>
    <w:rsid w:val="005D3AE7"/>
    <w:rsid w:val="005E4A2C"/>
    <w:rsid w:val="005E7AF3"/>
    <w:rsid w:val="005F6A4D"/>
    <w:rsid w:val="006013A6"/>
    <w:rsid w:val="006015A4"/>
    <w:rsid w:val="0060285A"/>
    <w:rsid w:val="0060530F"/>
    <w:rsid w:val="00605C73"/>
    <w:rsid w:val="00606BA3"/>
    <w:rsid w:val="006076C2"/>
    <w:rsid w:val="00612249"/>
    <w:rsid w:val="00616F11"/>
    <w:rsid w:val="00620BD7"/>
    <w:rsid w:val="00621643"/>
    <w:rsid w:val="00621CB3"/>
    <w:rsid w:val="0062500B"/>
    <w:rsid w:val="00631238"/>
    <w:rsid w:val="006411AE"/>
    <w:rsid w:val="00643DBF"/>
    <w:rsid w:val="006471C2"/>
    <w:rsid w:val="00652E8C"/>
    <w:rsid w:val="006614B9"/>
    <w:rsid w:val="00661506"/>
    <w:rsid w:val="006629BA"/>
    <w:rsid w:val="00662FD0"/>
    <w:rsid w:val="00674940"/>
    <w:rsid w:val="0068252B"/>
    <w:rsid w:val="00686B3A"/>
    <w:rsid w:val="00687AE4"/>
    <w:rsid w:val="006908AC"/>
    <w:rsid w:val="0069345E"/>
    <w:rsid w:val="00694EA4"/>
    <w:rsid w:val="006958B4"/>
    <w:rsid w:val="006A02FA"/>
    <w:rsid w:val="006A0371"/>
    <w:rsid w:val="006A2101"/>
    <w:rsid w:val="006A240E"/>
    <w:rsid w:val="006A38D2"/>
    <w:rsid w:val="006A5526"/>
    <w:rsid w:val="006A5BBF"/>
    <w:rsid w:val="006A6817"/>
    <w:rsid w:val="006C1381"/>
    <w:rsid w:val="006C1887"/>
    <w:rsid w:val="006C7D53"/>
    <w:rsid w:val="006D07B7"/>
    <w:rsid w:val="006D5B8F"/>
    <w:rsid w:val="006D67FF"/>
    <w:rsid w:val="006E0579"/>
    <w:rsid w:val="006F24D2"/>
    <w:rsid w:val="006F30C1"/>
    <w:rsid w:val="0070117B"/>
    <w:rsid w:val="00711A75"/>
    <w:rsid w:val="00714F13"/>
    <w:rsid w:val="00720442"/>
    <w:rsid w:val="00730CEF"/>
    <w:rsid w:val="00734E0A"/>
    <w:rsid w:val="00735215"/>
    <w:rsid w:val="00737E11"/>
    <w:rsid w:val="00744F40"/>
    <w:rsid w:val="0074636F"/>
    <w:rsid w:val="00746655"/>
    <w:rsid w:val="00752AC4"/>
    <w:rsid w:val="00754734"/>
    <w:rsid w:val="007727BC"/>
    <w:rsid w:val="00774123"/>
    <w:rsid w:val="00775061"/>
    <w:rsid w:val="00777140"/>
    <w:rsid w:val="007813EA"/>
    <w:rsid w:val="00783AAD"/>
    <w:rsid w:val="00792CDD"/>
    <w:rsid w:val="0079374E"/>
    <w:rsid w:val="00795066"/>
    <w:rsid w:val="0079664F"/>
    <w:rsid w:val="007A1689"/>
    <w:rsid w:val="007A396B"/>
    <w:rsid w:val="007A5CF2"/>
    <w:rsid w:val="007A68FB"/>
    <w:rsid w:val="007A7BB0"/>
    <w:rsid w:val="007B0959"/>
    <w:rsid w:val="007B0F7F"/>
    <w:rsid w:val="007C0B70"/>
    <w:rsid w:val="007C1B12"/>
    <w:rsid w:val="007C4187"/>
    <w:rsid w:val="007E090E"/>
    <w:rsid w:val="007E096E"/>
    <w:rsid w:val="00800EF7"/>
    <w:rsid w:val="00803FE7"/>
    <w:rsid w:val="00806541"/>
    <w:rsid w:val="00816A93"/>
    <w:rsid w:val="00822645"/>
    <w:rsid w:val="00825422"/>
    <w:rsid w:val="008257D4"/>
    <w:rsid w:val="00834964"/>
    <w:rsid w:val="0083630E"/>
    <w:rsid w:val="008448A9"/>
    <w:rsid w:val="008643A6"/>
    <w:rsid w:val="008670A5"/>
    <w:rsid w:val="0087441C"/>
    <w:rsid w:val="00883CB8"/>
    <w:rsid w:val="00884E79"/>
    <w:rsid w:val="008850F5"/>
    <w:rsid w:val="00892ABA"/>
    <w:rsid w:val="008A5F3A"/>
    <w:rsid w:val="008A718E"/>
    <w:rsid w:val="008B27F4"/>
    <w:rsid w:val="008B4720"/>
    <w:rsid w:val="008B77BE"/>
    <w:rsid w:val="008C2F0E"/>
    <w:rsid w:val="008D3920"/>
    <w:rsid w:val="008D4380"/>
    <w:rsid w:val="008E25EB"/>
    <w:rsid w:val="008E51F0"/>
    <w:rsid w:val="008E54CD"/>
    <w:rsid w:val="008E70A4"/>
    <w:rsid w:val="008F2248"/>
    <w:rsid w:val="008F5278"/>
    <w:rsid w:val="0091564D"/>
    <w:rsid w:val="00920FB2"/>
    <w:rsid w:val="009229D4"/>
    <w:rsid w:val="009301F8"/>
    <w:rsid w:val="00934677"/>
    <w:rsid w:val="00941FE8"/>
    <w:rsid w:val="009455D7"/>
    <w:rsid w:val="0094573A"/>
    <w:rsid w:val="00950B57"/>
    <w:rsid w:val="009636B5"/>
    <w:rsid w:val="009664C3"/>
    <w:rsid w:val="00971216"/>
    <w:rsid w:val="0098238C"/>
    <w:rsid w:val="00983E30"/>
    <w:rsid w:val="00993683"/>
    <w:rsid w:val="009A29DA"/>
    <w:rsid w:val="009A2E04"/>
    <w:rsid w:val="009A44CF"/>
    <w:rsid w:val="009A45B0"/>
    <w:rsid w:val="009A4A82"/>
    <w:rsid w:val="009B14CC"/>
    <w:rsid w:val="009B4818"/>
    <w:rsid w:val="009B4CDF"/>
    <w:rsid w:val="009D21F7"/>
    <w:rsid w:val="009D7B26"/>
    <w:rsid w:val="009E00D9"/>
    <w:rsid w:val="009E6A1E"/>
    <w:rsid w:val="009F30EC"/>
    <w:rsid w:val="00A03412"/>
    <w:rsid w:val="00A101F0"/>
    <w:rsid w:val="00A12C1C"/>
    <w:rsid w:val="00A13D11"/>
    <w:rsid w:val="00A242A7"/>
    <w:rsid w:val="00A30F1C"/>
    <w:rsid w:val="00A32675"/>
    <w:rsid w:val="00A36773"/>
    <w:rsid w:val="00A428B1"/>
    <w:rsid w:val="00A50BA6"/>
    <w:rsid w:val="00A52FF9"/>
    <w:rsid w:val="00A53EB6"/>
    <w:rsid w:val="00A60A94"/>
    <w:rsid w:val="00A60D40"/>
    <w:rsid w:val="00A63921"/>
    <w:rsid w:val="00A71175"/>
    <w:rsid w:val="00A766CB"/>
    <w:rsid w:val="00A83B4A"/>
    <w:rsid w:val="00A85AF3"/>
    <w:rsid w:val="00A86E6D"/>
    <w:rsid w:val="00A86F80"/>
    <w:rsid w:val="00A87C40"/>
    <w:rsid w:val="00A914A2"/>
    <w:rsid w:val="00A92446"/>
    <w:rsid w:val="00A93B9C"/>
    <w:rsid w:val="00A94AB8"/>
    <w:rsid w:val="00A9540F"/>
    <w:rsid w:val="00A95763"/>
    <w:rsid w:val="00AA29F6"/>
    <w:rsid w:val="00AA772B"/>
    <w:rsid w:val="00AB0CFA"/>
    <w:rsid w:val="00AB5FE8"/>
    <w:rsid w:val="00AB74C0"/>
    <w:rsid w:val="00AC437B"/>
    <w:rsid w:val="00AE4A0E"/>
    <w:rsid w:val="00AE4B06"/>
    <w:rsid w:val="00AF0E25"/>
    <w:rsid w:val="00AF44E3"/>
    <w:rsid w:val="00AF7880"/>
    <w:rsid w:val="00B05008"/>
    <w:rsid w:val="00B057E5"/>
    <w:rsid w:val="00B2020D"/>
    <w:rsid w:val="00B24226"/>
    <w:rsid w:val="00B266E5"/>
    <w:rsid w:val="00B268F1"/>
    <w:rsid w:val="00B27CDD"/>
    <w:rsid w:val="00B3551B"/>
    <w:rsid w:val="00B40083"/>
    <w:rsid w:val="00B562A2"/>
    <w:rsid w:val="00B6098D"/>
    <w:rsid w:val="00B61285"/>
    <w:rsid w:val="00B63934"/>
    <w:rsid w:val="00B74B4F"/>
    <w:rsid w:val="00B764FC"/>
    <w:rsid w:val="00B8593C"/>
    <w:rsid w:val="00BA0185"/>
    <w:rsid w:val="00BA19D6"/>
    <w:rsid w:val="00BA4089"/>
    <w:rsid w:val="00BA77E6"/>
    <w:rsid w:val="00BB0B19"/>
    <w:rsid w:val="00BB13B9"/>
    <w:rsid w:val="00BB13BB"/>
    <w:rsid w:val="00BB7CA1"/>
    <w:rsid w:val="00BC2E1C"/>
    <w:rsid w:val="00BC484E"/>
    <w:rsid w:val="00BC5BD3"/>
    <w:rsid w:val="00BC7D11"/>
    <w:rsid w:val="00BD0EF0"/>
    <w:rsid w:val="00BE2561"/>
    <w:rsid w:val="00BF068C"/>
    <w:rsid w:val="00BF1B7A"/>
    <w:rsid w:val="00C05AA7"/>
    <w:rsid w:val="00C138A8"/>
    <w:rsid w:val="00C342CE"/>
    <w:rsid w:val="00C412DB"/>
    <w:rsid w:val="00C42D34"/>
    <w:rsid w:val="00C42D39"/>
    <w:rsid w:val="00C432CF"/>
    <w:rsid w:val="00C43B09"/>
    <w:rsid w:val="00C4661C"/>
    <w:rsid w:val="00C57371"/>
    <w:rsid w:val="00C6293E"/>
    <w:rsid w:val="00C63CB9"/>
    <w:rsid w:val="00C6734E"/>
    <w:rsid w:val="00C67FC6"/>
    <w:rsid w:val="00CA075B"/>
    <w:rsid w:val="00CB0D5C"/>
    <w:rsid w:val="00CB14EF"/>
    <w:rsid w:val="00CC1D09"/>
    <w:rsid w:val="00CC3097"/>
    <w:rsid w:val="00CD0FDB"/>
    <w:rsid w:val="00CD699A"/>
    <w:rsid w:val="00CE0424"/>
    <w:rsid w:val="00CF1456"/>
    <w:rsid w:val="00CF1F94"/>
    <w:rsid w:val="00CF22D6"/>
    <w:rsid w:val="00CF5B44"/>
    <w:rsid w:val="00D0124F"/>
    <w:rsid w:val="00D10B9E"/>
    <w:rsid w:val="00D164E4"/>
    <w:rsid w:val="00D27226"/>
    <w:rsid w:val="00D31CDB"/>
    <w:rsid w:val="00D36CA2"/>
    <w:rsid w:val="00D47D54"/>
    <w:rsid w:val="00D50C49"/>
    <w:rsid w:val="00D526A2"/>
    <w:rsid w:val="00D554C4"/>
    <w:rsid w:val="00D6286D"/>
    <w:rsid w:val="00D65108"/>
    <w:rsid w:val="00D74EF2"/>
    <w:rsid w:val="00D87EAD"/>
    <w:rsid w:val="00D94E58"/>
    <w:rsid w:val="00DA40F0"/>
    <w:rsid w:val="00DA5F48"/>
    <w:rsid w:val="00DA602C"/>
    <w:rsid w:val="00DB0CE6"/>
    <w:rsid w:val="00DB2562"/>
    <w:rsid w:val="00DB6240"/>
    <w:rsid w:val="00DC11D2"/>
    <w:rsid w:val="00DC2E8B"/>
    <w:rsid w:val="00DC388F"/>
    <w:rsid w:val="00DC3F56"/>
    <w:rsid w:val="00DC4CDF"/>
    <w:rsid w:val="00DD7657"/>
    <w:rsid w:val="00DD76F8"/>
    <w:rsid w:val="00DE21FF"/>
    <w:rsid w:val="00DE54EC"/>
    <w:rsid w:val="00DE5831"/>
    <w:rsid w:val="00DE58BA"/>
    <w:rsid w:val="00DF35A6"/>
    <w:rsid w:val="00DF5A95"/>
    <w:rsid w:val="00E01A8B"/>
    <w:rsid w:val="00E01D2A"/>
    <w:rsid w:val="00E02941"/>
    <w:rsid w:val="00E03CFF"/>
    <w:rsid w:val="00E17429"/>
    <w:rsid w:val="00E2272A"/>
    <w:rsid w:val="00E26810"/>
    <w:rsid w:val="00E45B90"/>
    <w:rsid w:val="00E503C1"/>
    <w:rsid w:val="00E51901"/>
    <w:rsid w:val="00E52F03"/>
    <w:rsid w:val="00E52FCD"/>
    <w:rsid w:val="00E5414F"/>
    <w:rsid w:val="00E57511"/>
    <w:rsid w:val="00E635AB"/>
    <w:rsid w:val="00E669CA"/>
    <w:rsid w:val="00E73AE0"/>
    <w:rsid w:val="00E73D74"/>
    <w:rsid w:val="00E74C5E"/>
    <w:rsid w:val="00E75EFC"/>
    <w:rsid w:val="00E777D2"/>
    <w:rsid w:val="00E81DF5"/>
    <w:rsid w:val="00E87C3F"/>
    <w:rsid w:val="00E90D44"/>
    <w:rsid w:val="00E96361"/>
    <w:rsid w:val="00EA36B3"/>
    <w:rsid w:val="00EA5747"/>
    <w:rsid w:val="00EB00AB"/>
    <w:rsid w:val="00EB2F68"/>
    <w:rsid w:val="00EB4F4D"/>
    <w:rsid w:val="00EB7120"/>
    <w:rsid w:val="00EC1512"/>
    <w:rsid w:val="00ED30F3"/>
    <w:rsid w:val="00ED4EA2"/>
    <w:rsid w:val="00EE0BC4"/>
    <w:rsid w:val="00EE59BF"/>
    <w:rsid w:val="00EE6427"/>
    <w:rsid w:val="00EF2760"/>
    <w:rsid w:val="00EF2A57"/>
    <w:rsid w:val="00F0081B"/>
    <w:rsid w:val="00F066D4"/>
    <w:rsid w:val="00F134FF"/>
    <w:rsid w:val="00F13EDA"/>
    <w:rsid w:val="00F213C1"/>
    <w:rsid w:val="00F214DF"/>
    <w:rsid w:val="00F23230"/>
    <w:rsid w:val="00F367B8"/>
    <w:rsid w:val="00F36BB3"/>
    <w:rsid w:val="00F36E9D"/>
    <w:rsid w:val="00F37568"/>
    <w:rsid w:val="00F512E6"/>
    <w:rsid w:val="00F5166B"/>
    <w:rsid w:val="00F53FA7"/>
    <w:rsid w:val="00F570CD"/>
    <w:rsid w:val="00F607C8"/>
    <w:rsid w:val="00F62B01"/>
    <w:rsid w:val="00F72259"/>
    <w:rsid w:val="00F75025"/>
    <w:rsid w:val="00F84A24"/>
    <w:rsid w:val="00F86227"/>
    <w:rsid w:val="00F918AA"/>
    <w:rsid w:val="00F9709A"/>
    <w:rsid w:val="00FA3841"/>
    <w:rsid w:val="00FA44D2"/>
    <w:rsid w:val="00FA700C"/>
    <w:rsid w:val="00FC571B"/>
    <w:rsid w:val="00FD2755"/>
    <w:rsid w:val="00FD2D8F"/>
    <w:rsid w:val="00FD5357"/>
    <w:rsid w:val="00FE7CC1"/>
    <w:rsid w:val="00FF6B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0F5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2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0F5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2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rmansalehi198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Farhad Rayaneh</dc:creator>
  <cp:lastModifiedBy>Farhad Rayaneh</cp:lastModifiedBy>
  <cp:revision>2</cp:revision>
  <dcterms:created xsi:type="dcterms:W3CDTF">2018-01-28T19:59:00Z</dcterms:created>
  <dcterms:modified xsi:type="dcterms:W3CDTF">2018-01-28T21:15:00Z</dcterms:modified>
</cp:coreProperties>
</file>