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C2479" w:rsidP="00494130">
      <w:pPr>
        <w:pStyle w:val="Heading1"/>
        <w:spacing w:before="170"/>
        <w:ind w:left="0"/>
      </w:pPr>
      <w:r w:rsidRPr="007C2479">
        <w:rPr>
          <w:color w:val="337AB7"/>
        </w:rPr>
        <w:t>Office-Based Anesthesia: Safety and Outcomes in Pediatric Dental Patients</w:t>
      </w:r>
    </w:p>
    <w:p w:rsidR="007C2479" w:rsidRPr="009660F3" w:rsidRDefault="007C2479" w:rsidP="009660F3">
      <w:pPr>
        <w:pStyle w:val="BodyText"/>
        <w:spacing w:before="73"/>
        <w:ind w:left="100" w:right="5987"/>
        <w:rPr>
          <w:sz w:val="20"/>
        </w:rPr>
      </w:pPr>
      <w:r w:rsidRPr="009660F3">
        <w:rPr>
          <w:sz w:val="20"/>
        </w:rPr>
        <w:t>James E. Jones, DMD, MSD, EdD, PhD,</w:t>
      </w:r>
    </w:p>
    <w:p w:rsidR="007C2479" w:rsidRPr="009660F3" w:rsidRDefault="007C2479" w:rsidP="009660F3">
      <w:pPr>
        <w:pStyle w:val="BodyText"/>
        <w:spacing w:before="73"/>
        <w:ind w:left="100" w:right="5987"/>
        <w:rPr>
          <w:sz w:val="20"/>
        </w:rPr>
      </w:pPr>
      <w:r w:rsidRPr="009660F3">
        <w:rPr>
          <w:sz w:val="20"/>
        </w:rPr>
        <w:t>Starkey Research Professor</w:t>
      </w:r>
    </w:p>
    <w:p w:rsidR="007C2479" w:rsidRPr="009660F3" w:rsidRDefault="007C2479" w:rsidP="009660F3">
      <w:pPr>
        <w:pStyle w:val="BodyText"/>
        <w:spacing w:before="73"/>
        <w:ind w:left="100" w:right="5987"/>
        <w:rPr>
          <w:sz w:val="20"/>
        </w:rPr>
      </w:pPr>
      <w:r w:rsidRPr="009660F3">
        <w:rPr>
          <w:sz w:val="20"/>
        </w:rPr>
        <w:t>Department of Pediatric Dentistry</w:t>
      </w:r>
    </w:p>
    <w:p w:rsidR="007C2479" w:rsidRPr="009660F3" w:rsidRDefault="007C2479" w:rsidP="009660F3">
      <w:pPr>
        <w:pStyle w:val="BodyText"/>
        <w:spacing w:before="73"/>
        <w:ind w:left="100" w:right="5987"/>
        <w:rPr>
          <w:sz w:val="20"/>
        </w:rPr>
      </w:pPr>
      <w:r w:rsidRPr="009660F3">
        <w:rPr>
          <w:sz w:val="20"/>
        </w:rPr>
        <w:t>Riley Hospital for Children</w:t>
      </w:r>
    </w:p>
    <w:p w:rsidR="007C2479" w:rsidRPr="009660F3" w:rsidRDefault="007C2479" w:rsidP="009660F3">
      <w:pPr>
        <w:pStyle w:val="BodyText"/>
        <w:spacing w:before="73"/>
        <w:ind w:left="100" w:right="5987"/>
        <w:rPr>
          <w:sz w:val="20"/>
        </w:rPr>
      </w:pPr>
      <w:r w:rsidRPr="009660F3">
        <w:rPr>
          <w:sz w:val="20"/>
        </w:rPr>
        <w:t>Indiana University School of Dentistry</w:t>
      </w:r>
    </w:p>
    <w:p w:rsidR="007C2479" w:rsidRPr="009660F3" w:rsidRDefault="007C2479" w:rsidP="009660F3">
      <w:pPr>
        <w:pStyle w:val="BodyText"/>
        <w:spacing w:before="73"/>
        <w:ind w:left="100" w:right="5987"/>
        <w:rPr>
          <w:sz w:val="20"/>
        </w:rPr>
      </w:pPr>
      <w:r w:rsidRPr="009660F3">
        <w:rPr>
          <w:sz w:val="20"/>
        </w:rPr>
        <w:t>Adjunct Clinical Professor of Pediatrics</w:t>
      </w:r>
    </w:p>
    <w:p w:rsidR="00AE3E37" w:rsidRPr="009660F3" w:rsidRDefault="007C2479" w:rsidP="009660F3">
      <w:pPr>
        <w:pStyle w:val="BodyText"/>
        <w:spacing w:before="73"/>
        <w:ind w:left="100" w:right="5987"/>
        <w:rPr>
          <w:sz w:val="20"/>
        </w:rPr>
      </w:pPr>
      <w:r w:rsidRPr="009660F3">
        <w:rPr>
          <w:sz w:val="20"/>
        </w:rPr>
        <w:t>Indiana University School of Medicine</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C36A36" w:rsidRDefault="00A9710C">
      <w:pPr>
        <w:pStyle w:val="Heading3"/>
        <w:spacing w:before="147"/>
        <w:jc w:val="both"/>
        <w:rPr>
          <w:rFonts w:ascii="Tw Cen MT" w:hAnsi="Tw Cen MT"/>
        </w:rPr>
      </w:pPr>
      <w:r w:rsidRPr="00C36A36">
        <w:rPr>
          <w:rFonts w:ascii="Tw Cen MT" w:hAnsi="Tw Cen MT"/>
          <w:color w:val="BF5A14"/>
        </w:rPr>
        <w:t>Abstract</w:t>
      </w:r>
    </w:p>
    <w:p w:rsidR="00AE3E37" w:rsidRDefault="0011228E">
      <w:pPr>
        <w:pStyle w:val="BodyText"/>
        <w:spacing w:before="90" w:line="280" w:lineRule="auto"/>
        <w:ind w:left="100"/>
        <w:jc w:val="both"/>
      </w:pPr>
      <w:r w:rsidRPr="0011228E">
        <w:t>The number of children with caries requiring general anesthesia to achieve comprehensive dental care and the demand for dentist anesthesiologists to provide ambulatory anesthesia for these patients is increasing. In 2010, the Society for Ambulatory Anesthesia Clinical Outcomes Registry was developed. This Web-based database allows providers of ambulatory anesthesia to track patient demographics and various outc</w:t>
      </w:r>
      <w:r w:rsidR="00474949">
        <w:t>omes of procedures. This presentation reviews</w:t>
      </w:r>
      <w:r w:rsidRPr="0011228E">
        <w:t xml:space="preserve"> a secondary analysis of data collected in the registry over a 4-year period, 2010–2014. Of the 7041 cases reviewed, no cases resulted in serious complications, including death, anaphylaxis, aspiration, cardiovascular adverse events, or neurologic adverse events. Of the 7041 cases reviewed, 196 (3.0%) resulted in a predischarge or postdischarge adverse event. The predischarge adverse event occurring with the highest frequency was laryngospasm, occurring in 35 cases (0.50%). The postdischarge adverse event occurring with the highest frequency was nausea, reported by 99 patients</w:t>
      </w:r>
      <w:r w:rsidR="00474949">
        <w:t xml:space="preserve"> (5.0%) for the 1991patients reached for follow-up by the dentist anesthesiologist following their procedure. This analysis</w:t>
      </w:r>
      <w:r w:rsidRPr="0011228E">
        <w:t xml:space="preserve"> provides strong clinical outcomes data to support the safety of office-based anesthesia as performed by dentist anesthesiologists in the treatment of pediatric dental patients.</w:t>
      </w:r>
      <w:r w:rsidR="007C2479" w:rsidRPr="007C2479">
        <w:t xml:space="preserve"> Example of a “typical” pati</w:t>
      </w:r>
      <w:r w:rsidR="00474949">
        <w:t>ent procedure will be presented for discussion.</w:t>
      </w:r>
    </w:p>
    <w:p w:rsidR="005973B9" w:rsidRPr="00C46D76" w:rsidRDefault="00A9710C" w:rsidP="000038DD">
      <w:pPr>
        <w:pStyle w:val="Heading3"/>
        <w:spacing w:before="74"/>
        <w:ind w:left="0"/>
        <w:rPr>
          <w:rFonts w:ascii="Tw Cen MT" w:hAnsi="Tw Cen MT"/>
        </w:rPr>
      </w:pPr>
      <w:r>
        <w:rPr>
          <w:b w:val="0"/>
        </w:rPr>
        <w:br w:type="column"/>
      </w:r>
      <w:r w:rsidR="000038DD" w:rsidRPr="00C46D76">
        <w:rPr>
          <w:color w:val="FF0000"/>
        </w:rPr>
        <w:t xml:space="preserve">  </w:t>
      </w:r>
      <w:r w:rsidR="000038DD" w:rsidRPr="00C46D76">
        <w:rPr>
          <w:rFonts w:ascii="Tw Cen MT" w:hAnsi="Tw Cen MT"/>
          <w:color w:val="FF0000"/>
        </w:rPr>
        <w:t xml:space="preserve">Recent </w:t>
      </w:r>
      <w:r w:rsidR="000038DD" w:rsidRPr="00C46D76">
        <w:rPr>
          <w:rFonts w:ascii="Tw Cen MT" w:hAnsi="Tw Cen MT"/>
          <w:color w:val="BF5A14"/>
        </w:rPr>
        <w:t>Publications</w:t>
      </w:r>
    </w:p>
    <w:p w:rsidR="000038DD" w:rsidRDefault="000038DD">
      <w:pPr>
        <w:spacing w:line="200" w:lineRule="exact"/>
        <w:jc w:val="both"/>
        <w:rPr>
          <w:rFonts w:ascii="Calibri" w:hAnsi="Calibri"/>
        </w:rPr>
      </w:pPr>
    </w:p>
    <w:p w:rsidR="00776334" w:rsidRPr="00776334" w:rsidRDefault="00776334" w:rsidP="00C46D76">
      <w:pPr>
        <w:spacing w:line="276" w:lineRule="auto"/>
        <w:ind w:left="180"/>
        <w:jc w:val="both"/>
        <w:rPr>
          <w:sz w:val="18"/>
        </w:rPr>
      </w:pPr>
      <w:r w:rsidRPr="00776334">
        <w:rPr>
          <w:sz w:val="18"/>
        </w:rPr>
        <w:t xml:space="preserve">1.  Hicks, G., Jones, J.E., Saxen, M., Maupome, G. and others. (2012) Future Demands for Dentist Anesthesiologists in Pediatric Dentistry Sedation: A Survey of dental Anesthesiologist residency Directors and Pediatric Dentistry Residency Directors. </w:t>
      </w:r>
      <w:r w:rsidRPr="00776334">
        <w:rPr>
          <w:sz w:val="18"/>
          <w:u w:val="single"/>
        </w:rPr>
        <w:t>Anesthesia Progress</w:t>
      </w:r>
      <w:r w:rsidRPr="00776334">
        <w:rPr>
          <w:sz w:val="18"/>
        </w:rPr>
        <w:t>. (59): 3-11.</w:t>
      </w:r>
    </w:p>
    <w:p w:rsidR="00776334" w:rsidRPr="00776334" w:rsidRDefault="00776334" w:rsidP="00C46D76">
      <w:pPr>
        <w:spacing w:line="276" w:lineRule="auto"/>
        <w:ind w:left="180"/>
        <w:jc w:val="both"/>
        <w:rPr>
          <w:sz w:val="18"/>
        </w:rPr>
      </w:pPr>
      <w:r w:rsidRPr="00776334">
        <w:rPr>
          <w:sz w:val="18"/>
        </w:rPr>
        <w:t xml:space="preserve">2.  Olabi, N., Jones. J.E., Saxen, M., Sanders, B.J. and others (2012) The Use of Office Based Sedation by Board Certified Pediatric Dentists Practicing in the United States. </w:t>
      </w:r>
      <w:r w:rsidRPr="00776334">
        <w:rPr>
          <w:sz w:val="18"/>
          <w:u w:val="single"/>
        </w:rPr>
        <w:t>Anesthesia Progress</w:t>
      </w:r>
      <w:r w:rsidRPr="00776334">
        <w:rPr>
          <w:sz w:val="18"/>
        </w:rPr>
        <w:t>. (59): 12-17.</w:t>
      </w:r>
    </w:p>
    <w:p w:rsidR="00776334" w:rsidRPr="00776334" w:rsidRDefault="00776334" w:rsidP="00C46D76">
      <w:pPr>
        <w:spacing w:line="276" w:lineRule="auto"/>
        <w:ind w:left="180"/>
        <w:jc w:val="both"/>
        <w:rPr>
          <w:sz w:val="18"/>
        </w:rPr>
      </w:pPr>
      <w:r w:rsidRPr="00776334">
        <w:rPr>
          <w:sz w:val="18"/>
        </w:rPr>
        <w:t xml:space="preserve">3.  VanCleave, A. M., Jones, J.E., McGlothlin, J.D., Saxen, M.A., Sanders, B.J and Walker, L.A. (2014) Factors Involved in Dental Surgery Fires: A review of the Literature. </w:t>
      </w:r>
      <w:r w:rsidRPr="00776334">
        <w:rPr>
          <w:sz w:val="18"/>
          <w:u w:val="single"/>
        </w:rPr>
        <w:t>Anesthesia Progress</w:t>
      </w:r>
      <w:r w:rsidRPr="00776334">
        <w:rPr>
          <w:sz w:val="18"/>
        </w:rPr>
        <w:t>. (61): 21-25.</w:t>
      </w:r>
    </w:p>
    <w:p w:rsidR="00776334" w:rsidRPr="00776334" w:rsidRDefault="00776334" w:rsidP="00C46D76">
      <w:pPr>
        <w:spacing w:line="276" w:lineRule="auto"/>
        <w:ind w:left="180"/>
        <w:jc w:val="both"/>
        <w:rPr>
          <w:sz w:val="18"/>
        </w:rPr>
      </w:pPr>
      <w:r w:rsidRPr="00776334">
        <w:rPr>
          <w:sz w:val="18"/>
        </w:rPr>
        <w:t>4.  VanCleave, A. M., Jones, J.E., McGlothlin, J.D., Saxen, M.A., Sanders, B.J and Walker, L.A. (2014) The Effect of Intraoral Suction on Oxygen-Enriched Surgical Environments: A Mechanism for Reducing the Risk of Surgical Fires</w:t>
      </w:r>
      <w:r w:rsidRPr="00776334">
        <w:rPr>
          <w:b/>
          <w:sz w:val="18"/>
        </w:rPr>
        <w:t xml:space="preserve">. </w:t>
      </w:r>
      <w:r w:rsidRPr="00776334">
        <w:rPr>
          <w:sz w:val="18"/>
          <w:u w:val="single"/>
        </w:rPr>
        <w:t>Anesthesia Progress</w:t>
      </w:r>
      <w:r w:rsidRPr="00776334">
        <w:rPr>
          <w:sz w:val="18"/>
        </w:rPr>
        <w:t>.  Winter: 61(4):155-161.</w:t>
      </w:r>
    </w:p>
    <w:p w:rsidR="00C36A36" w:rsidRDefault="00776334" w:rsidP="00C46D76">
      <w:pPr>
        <w:spacing w:line="276" w:lineRule="auto"/>
        <w:ind w:left="180"/>
        <w:jc w:val="both"/>
        <w:rPr>
          <w:sz w:val="18"/>
        </w:rPr>
      </w:pPr>
      <w:r w:rsidRPr="00776334">
        <w:rPr>
          <w:sz w:val="18"/>
        </w:rPr>
        <w:t xml:space="preserve">5.  </w:t>
      </w:r>
      <w:r w:rsidR="00C36A36" w:rsidRPr="00C36A36">
        <w:rPr>
          <w:sz w:val="18"/>
        </w:rPr>
        <w:t>Weddell, J.</w:t>
      </w:r>
      <w:r w:rsidR="00C36A36">
        <w:rPr>
          <w:sz w:val="18"/>
        </w:rPr>
        <w:t>A., Jones, J.E. and Emhardt, J.</w:t>
      </w:r>
      <w:r w:rsidR="00C36A36" w:rsidRPr="00C36A36">
        <w:rPr>
          <w:sz w:val="18"/>
        </w:rPr>
        <w:t xml:space="preserve"> (2015) Hospital dental services for children and the use of general anesthesia. Chapter 18, McDonald and Avery’s Dentistr</w:t>
      </w:r>
      <w:r w:rsidR="00C36A36">
        <w:rPr>
          <w:sz w:val="18"/>
        </w:rPr>
        <w:t xml:space="preserve">y for the Child and Adolescent. </w:t>
      </w:r>
      <w:r w:rsidR="00C36A36" w:rsidRPr="00C36A36">
        <w:rPr>
          <w:sz w:val="18"/>
        </w:rPr>
        <w:t>C.V. Mosby Co., St. Louis. PP 328-348.</w:t>
      </w:r>
    </w:p>
    <w:p w:rsidR="00776334" w:rsidRPr="00776334" w:rsidRDefault="00776334" w:rsidP="00C46D76">
      <w:pPr>
        <w:spacing w:line="276" w:lineRule="auto"/>
        <w:ind w:left="180"/>
        <w:jc w:val="both"/>
        <w:rPr>
          <w:sz w:val="18"/>
        </w:rPr>
      </w:pPr>
      <w:r>
        <w:rPr>
          <w:sz w:val="18"/>
        </w:rPr>
        <w:t>6</w:t>
      </w:r>
      <w:r w:rsidRPr="00776334">
        <w:rPr>
          <w:sz w:val="18"/>
        </w:rPr>
        <w:t>.  Emhardt, J., Yepes, J.F., Vinson, L., Maupome, G, Jones, J.E. and others. (2017) Factors Related to Failed Pediatric Dental Appointments Scheduled for Care Under General Anesthesia in a University Hospital-Based Residency Program</w:t>
      </w:r>
      <w:r w:rsidRPr="00776334">
        <w:rPr>
          <w:b/>
          <w:sz w:val="18"/>
        </w:rPr>
        <w:t xml:space="preserve">. </w:t>
      </w:r>
      <w:r w:rsidRPr="00776334">
        <w:rPr>
          <w:sz w:val="18"/>
          <w:u w:val="single"/>
        </w:rPr>
        <w:t>Pediatric Dentistry</w:t>
      </w:r>
      <w:r w:rsidRPr="00776334">
        <w:rPr>
          <w:sz w:val="18"/>
        </w:rPr>
        <w:t>. 39(3): 217- 222.</w:t>
      </w:r>
    </w:p>
    <w:p w:rsidR="00776334" w:rsidRPr="00776334" w:rsidRDefault="00776334" w:rsidP="00C46D76">
      <w:pPr>
        <w:spacing w:line="276" w:lineRule="auto"/>
        <w:ind w:left="180"/>
        <w:jc w:val="both"/>
        <w:rPr>
          <w:sz w:val="18"/>
        </w:rPr>
      </w:pPr>
      <w:r>
        <w:rPr>
          <w:sz w:val="18"/>
        </w:rPr>
        <w:t>7</w:t>
      </w:r>
      <w:r w:rsidRPr="00776334">
        <w:rPr>
          <w:sz w:val="18"/>
        </w:rPr>
        <w:t>.  Yepes, J. F., Booe, M., Sanders, B.J., Jones, J.E. and others. (2017) Pediatric Phantom Dosimetry of Kodak 9000 Cone-beam Computed Tomography</w:t>
      </w:r>
      <w:r w:rsidRPr="00776334">
        <w:rPr>
          <w:b/>
          <w:sz w:val="18"/>
        </w:rPr>
        <w:t xml:space="preserve">. </w:t>
      </w:r>
      <w:r w:rsidRPr="00776334">
        <w:rPr>
          <w:sz w:val="18"/>
          <w:u w:val="single"/>
        </w:rPr>
        <w:t>Pediatric Dentistry</w:t>
      </w:r>
      <w:r w:rsidRPr="00776334">
        <w:rPr>
          <w:sz w:val="18"/>
        </w:rPr>
        <w:t>. 39(3): 217- 222.</w:t>
      </w:r>
    </w:p>
    <w:p w:rsidR="00776334" w:rsidRPr="00776334" w:rsidRDefault="00776334" w:rsidP="00C46D76">
      <w:pPr>
        <w:spacing w:line="276" w:lineRule="auto"/>
        <w:ind w:left="180"/>
        <w:jc w:val="both"/>
        <w:rPr>
          <w:sz w:val="18"/>
        </w:rPr>
      </w:pPr>
      <w:r>
        <w:rPr>
          <w:sz w:val="18"/>
        </w:rPr>
        <w:t xml:space="preserve">8. </w:t>
      </w:r>
      <w:r w:rsidRPr="00776334">
        <w:rPr>
          <w:sz w:val="18"/>
        </w:rPr>
        <w:t xml:space="preserve">Martinez-Mier, A. E., Spencer, K.L., Sanders, B.J., Jones, J.E., and others. (2017) Fluoride in the Diet of Two-Year-Old Children. </w:t>
      </w:r>
      <w:r w:rsidRPr="00776334">
        <w:rPr>
          <w:sz w:val="18"/>
          <w:u w:val="single"/>
        </w:rPr>
        <w:t>Community Dentistry and Oral Epidemiology</w:t>
      </w:r>
      <w:r w:rsidRPr="00776334">
        <w:rPr>
          <w:sz w:val="18"/>
        </w:rPr>
        <w:t>. 45(3): 251–257.</w:t>
      </w:r>
    </w:p>
    <w:p w:rsidR="00AE3E37" w:rsidRPr="00776334" w:rsidRDefault="00776334" w:rsidP="00C46D76">
      <w:pPr>
        <w:spacing w:line="276" w:lineRule="auto"/>
        <w:ind w:left="180"/>
        <w:jc w:val="both"/>
        <w:rPr>
          <w:rFonts w:ascii="Calibri" w:hAnsi="Calibri"/>
          <w:sz w:val="18"/>
        </w:rPr>
        <w:sectPr w:rsidR="00AE3E37" w:rsidRPr="00776334" w:rsidSect="00776334">
          <w:type w:val="continuous"/>
          <w:pgSz w:w="11910" w:h="16840"/>
          <w:pgMar w:top="1740" w:right="600" w:bottom="840" w:left="620" w:header="720" w:footer="720" w:gutter="0"/>
          <w:cols w:num="2" w:space="720" w:equalWidth="0">
            <w:col w:w="5214" w:space="138"/>
            <w:col w:w="5338"/>
          </w:cols>
        </w:sectPr>
      </w:pPr>
      <w:r>
        <w:rPr>
          <w:sz w:val="18"/>
        </w:rPr>
        <w:t xml:space="preserve">9. </w:t>
      </w:r>
      <w:r w:rsidRPr="00776334">
        <w:rPr>
          <w:sz w:val="18"/>
        </w:rPr>
        <w:t xml:space="preserve">Spera, A., Saxen, M., Yepes, J., Jones, J. and Sanders, B. (2017) Office-Based Anesthesia: Safety and Outcomes in Pediatric Dental Patients. </w:t>
      </w:r>
      <w:r w:rsidRPr="00776334">
        <w:rPr>
          <w:sz w:val="18"/>
          <w:u w:val="single"/>
        </w:rPr>
        <w:t>Anesthesia Progress</w:t>
      </w:r>
      <w:r w:rsidRPr="00776334">
        <w:rPr>
          <w:sz w:val="18"/>
        </w:rPr>
        <w:t>. 64(3): 144-152</w:t>
      </w:r>
      <w:r w:rsidRPr="00776334">
        <w:rPr>
          <w:rFonts w:ascii="Calibri" w:hAnsi="Calibri"/>
          <w:sz w:val="18"/>
        </w:rPr>
        <w:t>.</w:t>
      </w:r>
    </w:p>
    <w:p w:rsidR="00C36A36" w:rsidRPr="00776334" w:rsidRDefault="00C36A36" w:rsidP="00C46D76">
      <w:pPr>
        <w:pStyle w:val="BodyText"/>
        <w:jc w:val="both"/>
        <w:rPr>
          <w:rFonts w:ascii="Calibri"/>
          <w:sz w:val="16"/>
        </w:rPr>
      </w:pPr>
      <w:bookmarkStart w:id="0" w:name="_GoBack"/>
      <w:bookmarkEnd w:id="0"/>
    </w:p>
    <w:p w:rsidR="00AE3E37" w:rsidRPr="00776334" w:rsidRDefault="00292ED9">
      <w:pPr>
        <w:pStyle w:val="BodyText"/>
        <w:spacing w:line="40" w:lineRule="exact"/>
        <w:ind w:left="2202"/>
        <w:rPr>
          <w:rFonts w:ascii="Calibri"/>
          <w:sz w:val="2"/>
        </w:rPr>
      </w:pPr>
      <w:r w:rsidRPr="00776334">
        <w:rPr>
          <w:rFonts w:ascii="Calibri"/>
          <w:noProof/>
          <w:sz w:val="2"/>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27E45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C46D76" w:rsidRDefault="003F2D54" w:rsidP="00404E5B">
      <w:pPr>
        <w:spacing w:before="92"/>
        <w:ind w:right="4234"/>
        <w:rPr>
          <w:b/>
          <w:color w:val="BF5A14"/>
          <w:sz w:val="18"/>
        </w:rPr>
      </w:pPr>
      <w:r w:rsidRPr="00C46D76">
        <w:rPr>
          <w:b/>
          <w:noProof/>
          <w:sz w:val="20"/>
        </w:rPr>
        <w:drawing>
          <wp:anchor distT="0" distB="0" distL="114300" distR="114300" simplePos="0" relativeHeight="251658240" behindDoc="0" locked="0" layoutInCell="1" allowOverlap="1">
            <wp:simplePos x="0" y="0"/>
            <wp:positionH relativeFrom="column">
              <wp:posOffset>-3175</wp:posOffset>
            </wp:positionH>
            <wp:positionV relativeFrom="paragraph">
              <wp:posOffset>53975</wp:posOffset>
            </wp:positionV>
            <wp:extent cx="1032510" cy="1314450"/>
            <wp:effectExtent l="0" t="0" r="0" b="0"/>
            <wp:wrapSquare wrapText="bothSides"/>
            <wp:docPr id="2" name="Picture 2" descr="\\iu-iusd-vc1.ads.iu.edu\C1$\jej7\Desktop\JEJ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u-iusd-vc1.ads.iu.edu\C1$\jej7\Desktop\JEJ PICTUR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2510" cy="1314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sidRPr="00C46D76">
        <w:rPr>
          <w:b/>
          <w:color w:val="BF5A14"/>
          <w:sz w:val="20"/>
        </w:rPr>
        <w:t>Biography</w:t>
      </w:r>
      <w:r w:rsidRPr="00C46D76">
        <w:rPr>
          <w:b/>
          <w:color w:val="BF5A14"/>
          <w:sz w:val="18"/>
        </w:rPr>
        <w:t xml:space="preserve"> </w:t>
      </w:r>
    </w:p>
    <w:p w:rsidR="003F2D54" w:rsidRPr="00AB4186" w:rsidRDefault="003F2D54" w:rsidP="00AB4186">
      <w:pPr>
        <w:spacing w:before="92"/>
        <w:ind w:right="-20"/>
        <w:jc w:val="both"/>
        <w:rPr>
          <w:sz w:val="18"/>
        </w:rPr>
      </w:pPr>
      <w:r w:rsidRPr="00AB4186">
        <w:rPr>
          <w:sz w:val="18"/>
        </w:rPr>
        <w:t>Dr. Jones is presently the Starkey Rese</w:t>
      </w:r>
      <w:r w:rsidR="00B40AE8">
        <w:rPr>
          <w:sz w:val="18"/>
        </w:rPr>
        <w:t>arch Professor</w:t>
      </w:r>
      <w:r w:rsidR="00C36A36">
        <w:rPr>
          <w:sz w:val="18"/>
        </w:rPr>
        <w:t xml:space="preserve">, </w:t>
      </w:r>
      <w:r w:rsidRPr="00AB4186">
        <w:rPr>
          <w:sz w:val="18"/>
        </w:rPr>
        <w:t>Department of Pediatric Dentistry, Indiana University School of Dentistry and Clinical Professor of Pediatrics, Indiana University School of Medicine. From 1993 to 2005, he was Dean of the School of Health Sciences, Indiana University Purdue University, in Fort Wayne, Indiana. He is a Fellow of the American Academy of Pediatric Dentistry, Fellow of the American College of Dentists, Fellow of the International College of Dentists and a member of the Pierre Fauchard Academy.</w:t>
      </w:r>
    </w:p>
    <w:p w:rsidR="003F2D54" w:rsidRPr="00AB4186" w:rsidRDefault="003F2D54" w:rsidP="00AB4186">
      <w:pPr>
        <w:spacing w:before="92"/>
        <w:ind w:right="-20"/>
        <w:jc w:val="both"/>
        <w:rPr>
          <w:sz w:val="18"/>
        </w:rPr>
      </w:pPr>
      <w:r w:rsidRPr="00AB4186">
        <w:rPr>
          <w:sz w:val="18"/>
        </w:rPr>
        <w:t>Dr. Jones has published over 100 articles, book chapters and research abstracts in the dental, medical and education literature. He has obtained over 6.3 million dollars in educational, service, training and research gr</w:t>
      </w:r>
      <w:r w:rsidR="00A83A03">
        <w:rPr>
          <w:sz w:val="18"/>
        </w:rPr>
        <w:t>ants. He has presented over 15</w:t>
      </w:r>
      <w:r w:rsidR="00C36A36">
        <w:rPr>
          <w:sz w:val="18"/>
        </w:rPr>
        <w:t xml:space="preserve">0 </w:t>
      </w:r>
      <w:r w:rsidRPr="00AB4186">
        <w:rPr>
          <w:sz w:val="18"/>
        </w:rPr>
        <w:t>continuing education courses in the United States, the Caribbean, Europe, Asia, South America and the Middle East on a variety of topics related to higher education.</w:t>
      </w:r>
    </w:p>
    <w:p w:rsidR="00AE3E37" w:rsidRDefault="00A9710C">
      <w:pPr>
        <w:spacing w:before="62"/>
        <w:ind w:left="4217" w:right="4235"/>
        <w:jc w:val="center"/>
        <w:rPr>
          <w:rFonts w:ascii="Arial"/>
          <w:sz w:val="14"/>
        </w:rPr>
      </w:pPr>
      <w:r>
        <w:rPr>
          <w:rFonts w:ascii="Arial"/>
          <w:sz w:val="14"/>
        </w:rPr>
        <w:t xml:space="preserve">Email: </w:t>
      </w:r>
      <w:r w:rsidR="003F2D54">
        <w:rPr>
          <w:rFonts w:ascii="Arial"/>
          <w:sz w:val="14"/>
        </w:rPr>
        <w:t>jej7@iu.edu</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884D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33DB2" w:rsidRDefault="00AE3E37" w:rsidP="00D33DB2">
      <w:pPr>
        <w:spacing w:before="39"/>
        <w:rPr>
          <w:rFonts w:ascii="Minion Pro"/>
          <w:b/>
          <w:sz w:val="20"/>
        </w:rPr>
        <w:sectPr w:rsidR="00AE3E37" w:rsidRPr="00D33DB2">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38DD"/>
    <w:rsid w:val="000E2911"/>
    <w:rsid w:val="0011228E"/>
    <w:rsid w:val="001263DF"/>
    <w:rsid w:val="002455EC"/>
    <w:rsid w:val="00292ED9"/>
    <w:rsid w:val="003F2D54"/>
    <w:rsid w:val="00404E5B"/>
    <w:rsid w:val="00414F7B"/>
    <w:rsid w:val="004355DC"/>
    <w:rsid w:val="00474949"/>
    <w:rsid w:val="004749B4"/>
    <w:rsid w:val="00494130"/>
    <w:rsid w:val="004F3523"/>
    <w:rsid w:val="005973B9"/>
    <w:rsid w:val="005B3A56"/>
    <w:rsid w:val="006060CE"/>
    <w:rsid w:val="006239B9"/>
    <w:rsid w:val="0063497F"/>
    <w:rsid w:val="00776334"/>
    <w:rsid w:val="007C2479"/>
    <w:rsid w:val="00873DF0"/>
    <w:rsid w:val="008756E6"/>
    <w:rsid w:val="008A08B6"/>
    <w:rsid w:val="009660F3"/>
    <w:rsid w:val="009B2D44"/>
    <w:rsid w:val="00A07E82"/>
    <w:rsid w:val="00A83A03"/>
    <w:rsid w:val="00A9710C"/>
    <w:rsid w:val="00AB4186"/>
    <w:rsid w:val="00AE3E37"/>
    <w:rsid w:val="00B21A57"/>
    <w:rsid w:val="00B40AE8"/>
    <w:rsid w:val="00C33602"/>
    <w:rsid w:val="00C36A36"/>
    <w:rsid w:val="00C46D76"/>
    <w:rsid w:val="00CD6F55"/>
    <w:rsid w:val="00D33DB2"/>
    <w:rsid w:val="00DE3104"/>
    <w:rsid w:val="00E26B10"/>
    <w:rsid w:val="00EC0D8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D81E94"/>
  <w15:docId w15:val="{1C72D7FB-17DE-4009-8AC3-3036BE71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Jones, James Earl</cp:lastModifiedBy>
  <cp:revision>2</cp:revision>
  <cp:lastPrinted>2017-09-13T11:54:00Z</cp:lastPrinted>
  <dcterms:created xsi:type="dcterms:W3CDTF">2017-09-13T12:12:00Z</dcterms:created>
  <dcterms:modified xsi:type="dcterms:W3CDTF">2017-09-13T12:12:00Z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