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81032">
      <w:pPr>
        <w:pStyle w:val="2"/>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rightChars="0" w:firstLine="0" w:firstLineChars="0"/>
        <w:jc w:val="center"/>
        <w:textAlignment w:val="auto"/>
        <w:rPr>
          <w:rStyle w:val="5"/>
          <w:rFonts w:hint="eastAsia" w:ascii="Times New Roman" w:hAnsi="Times New Roman" w:eastAsia="宋体" w:cs="Times New Roman"/>
          <w:color w:val="auto"/>
          <w:sz w:val="32"/>
          <w:szCs w:val="32"/>
        </w:rPr>
      </w:pPr>
      <w:bookmarkStart w:id="0" w:name="_GoBack"/>
      <w:r>
        <w:rPr>
          <w:rStyle w:val="5"/>
          <w:rFonts w:hint="eastAsia" w:ascii="Times New Roman" w:hAnsi="Times New Roman" w:eastAsia="宋体" w:cs="Times New Roman"/>
          <w:color w:val="auto"/>
          <w:sz w:val="32"/>
          <w:szCs w:val="32"/>
        </w:rPr>
        <w:t>Effects of Rocabado Myofunctional Training on Occlusal Dynamics and Clinical Outcomes in Patients with Bruxism: A T-Scan-Based Controlled Study</w:t>
      </w:r>
    </w:p>
    <w:bookmarkEnd w:id="0"/>
    <w:p w14:paraId="4CB16FCB">
      <w:pPr>
        <w:pStyle w:val="2"/>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rightChars="0" w:firstLine="0" w:firstLineChars="0"/>
        <w:jc w:val="both"/>
        <w:textAlignment w:val="auto"/>
        <w:rPr>
          <w:rStyle w:val="5"/>
          <w:rFonts w:hint="eastAsia" w:ascii="Times New Roman" w:hAnsi="Times New Roman" w:eastAsia="宋体" w:cs="Times New Roman"/>
          <w:color w:val="auto"/>
          <w:sz w:val="32"/>
          <w:szCs w:val="32"/>
        </w:rPr>
      </w:pPr>
    </w:p>
    <w:p w14:paraId="3DF02F87">
      <w:pPr>
        <w:rPr>
          <w:rStyle w:val="5"/>
          <w:rFonts w:hint="eastAsia" w:ascii="Times New Roman" w:hAnsi="Times New Roman" w:eastAsia="宋体" w:cs="Times New Roman"/>
          <w:color w:val="auto"/>
          <w:kern w:val="0"/>
          <w:sz w:val="20"/>
          <w:szCs w:val="20"/>
          <w:lang w:val="en-US" w:eastAsia="zh-CN" w:bidi="ar"/>
        </w:rPr>
      </w:pPr>
      <w:r>
        <w:rPr>
          <w:rStyle w:val="5"/>
          <w:rFonts w:hint="eastAsia" w:ascii="Times New Roman" w:hAnsi="Times New Roman" w:eastAsia="宋体" w:cs="Times New Roman"/>
          <w:color w:val="auto"/>
          <w:kern w:val="0"/>
          <w:sz w:val="20"/>
          <w:szCs w:val="20"/>
          <w:lang w:val="en-US" w:eastAsia="zh-CN" w:bidi="ar"/>
        </w:rPr>
        <w:t xml:space="preserve">Abstract </w:t>
      </w:r>
    </w:p>
    <w:p w14:paraId="4D3FB64A">
      <w:pPr>
        <w:rPr>
          <w:rStyle w:val="5"/>
          <w:rFonts w:hint="eastAsia" w:ascii="Times New Roman" w:hAnsi="Times New Roman" w:eastAsia="宋体" w:cs="Times New Roman"/>
          <w:color w:val="auto"/>
          <w:kern w:val="0"/>
          <w:sz w:val="20"/>
          <w:szCs w:val="20"/>
          <w:lang w:val="en-US" w:eastAsia="zh-CN" w:bidi="ar"/>
        </w:rPr>
      </w:pPr>
    </w:p>
    <w:p w14:paraId="1ED21903">
      <w:pP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b/>
          <w:bCs/>
          <w:i/>
          <w:iCs/>
          <w:color w:val="auto"/>
          <w:kern w:val="0"/>
          <w:sz w:val="20"/>
          <w:szCs w:val="20"/>
          <w:lang w:val="en-US" w:eastAsia="zh-CN" w:bidi="ar"/>
        </w:rPr>
        <w:t>Objective</w:t>
      </w:r>
      <w:r>
        <w:rPr>
          <w:rFonts w:hint="eastAsia" w:ascii="Times New Roman" w:hAnsi="Times New Roman" w:eastAsia="宋体" w:cs="Times New Roman"/>
          <w:b/>
          <w:bCs/>
          <w:color w:val="auto"/>
          <w:kern w:val="0"/>
          <w:sz w:val="20"/>
          <w:szCs w:val="20"/>
          <w:lang w:val="en-US" w:eastAsia="zh-CN" w:bidi="ar"/>
        </w:rPr>
        <w:t>：</w:t>
      </w:r>
      <w:r>
        <w:rPr>
          <w:rFonts w:hint="eastAsia" w:ascii="Times New Roman" w:hAnsi="Times New Roman" w:eastAsia="宋体" w:cs="Times New Roman"/>
          <w:color w:val="auto"/>
          <w:kern w:val="0"/>
          <w:sz w:val="20"/>
          <w:szCs w:val="20"/>
          <w:lang w:val="en-US" w:eastAsia="zh-CN" w:bidi="ar"/>
        </w:rPr>
        <w:t xml:space="preserve">To investigate the effects of Rocabado myofunctional training on occlusal dynamics and clinical symptoms in patients with bruxism, and to provide evidence for its clinical application. </w:t>
      </w:r>
      <w:r>
        <w:rPr>
          <w:rFonts w:hint="eastAsia" w:ascii="Times New Roman" w:hAnsi="Times New Roman" w:eastAsia="宋体" w:cs="Times New Roman"/>
          <w:b/>
          <w:bCs/>
          <w:i/>
          <w:iCs/>
          <w:color w:val="auto"/>
          <w:kern w:val="0"/>
          <w:sz w:val="20"/>
          <w:szCs w:val="20"/>
          <w:lang w:val="en-US" w:eastAsia="zh-CN" w:bidi="ar"/>
        </w:rPr>
        <w:t>Methods</w:t>
      </w:r>
      <w:r>
        <w:rPr>
          <w:rFonts w:hint="eastAsia" w:ascii="Times New Roman" w:hAnsi="Times New Roman" w:eastAsia="宋体" w:cs="Times New Roman"/>
          <w:b/>
          <w:bCs/>
          <w:color w:val="auto"/>
          <w:kern w:val="0"/>
          <w:sz w:val="20"/>
          <w:szCs w:val="20"/>
          <w:lang w:val="en-US" w:eastAsia="zh-CN" w:bidi="ar"/>
        </w:rPr>
        <w:t xml:space="preserve">: </w:t>
      </w:r>
      <w:r>
        <w:rPr>
          <w:rFonts w:hint="eastAsia" w:ascii="Times New Roman" w:hAnsi="Times New Roman" w:eastAsia="宋体" w:cs="Times New Roman"/>
          <w:color w:val="auto"/>
          <w:kern w:val="0"/>
          <w:sz w:val="20"/>
          <w:szCs w:val="20"/>
          <w:lang w:val="en-US" w:eastAsia="zh-CN" w:bidi="ar"/>
        </w:rPr>
        <w:t xml:space="preserve">A randomized controlled study was conducted on 74 patients diagnosed with bruxism between </w:t>
      </w:r>
      <w:r>
        <w:rPr>
          <w:rStyle w:val="5"/>
          <w:rFonts w:hint="default" w:ascii="Times New Roman" w:hAnsi="Times New Roman" w:eastAsia="宋体" w:cs="Times New Roman"/>
          <w:b w:val="0"/>
          <w:bCs/>
          <w:sz w:val="20"/>
          <w:szCs w:val="20"/>
          <w:highlight w:val="none"/>
        </w:rPr>
        <w:t>October 2025 to February 2026</w:t>
      </w:r>
      <w:r>
        <w:rPr>
          <w:rFonts w:hint="eastAsia" w:ascii="Times New Roman" w:hAnsi="Times New Roman" w:eastAsia="宋体" w:cs="Times New Roman"/>
          <w:color w:val="auto"/>
          <w:kern w:val="0"/>
          <w:sz w:val="20"/>
          <w:szCs w:val="20"/>
          <w:lang w:val="en-US" w:eastAsia="zh-CN" w:bidi="ar"/>
        </w:rPr>
        <w:t xml:space="preserve">. The patients were randomly divided into a control group (receiving routine health education) and an experimental group (receiving routine health education plus Rocabado myofunctional training), with 37 patients in each group. The intervention period was 8 weeks for both groups. A T-Scan digital occlusal analysis system was used to compare the occlusion time (OT), disclusion time (DT), center of force (COF) displacement, and bilateral occlusal force distribution between the two groups before and after the intervention. Pain intensity was assessed using the Visual Analogue Scale (VAS), and mandibular function was evaluated using the Jaw Functional Limitation Scale (JFLS). Furthermore, the incidence of clinical symptoms, including morning masticatory muscle fatigue, temporomandibular joint (TMJ) clicking, facial soreness, and mouth opening discomfort, was recorded. </w:t>
      </w:r>
    </w:p>
    <w:p w14:paraId="283E5696">
      <w:pP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b/>
          <w:bCs/>
          <w:i/>
          <w:iCs/>
          <w:color w:val="auto"/>
          <w:kern w:val="0"/>
          <w:sz w:val="20"/>
          <w:szCs w:val="20"/>
          <w:lang w:val="en-US" w:eastAsia="zh-CN" w:bidi="ar"/>
        </w:rPr>
        <w:t>Results</w:t>
      </w:r>
      <w:r>
        <w:rPr>
          <w:rFonts w:hint="eastAsia" w:ascii="Times New Roman" w:hAnsi="Times New Roman" w:eastAsia="宋体" w:cs="Times New Roman"/>
          <w:b/>
          <w:bCs/>
          <w:color w:val="auto"/>
          <w:kern w:val="0"/>
          <w:sz w:val="20"/>
          <w:szCs w:val="20"/>
          <w:lang w:val="en-US" w:eastAsia="zh-CN" w:bidi="ar"/>
        </w:rPr>
        <w:t xml:space="preserve">: </w:t>
      </w:r>
      <w:r>
        <w:rPr>
          <w:rFonts w:hint="eastAsia" w:ascii="Times New Roman" w:hAnsi="Times New Roman" w:eastAsia="宋体" w:cs="Times New Roman"/>
          <w:color w:val="auto"/>
          <w:kern w:val="0"/>
          <w:sz w:val="20"/>
          <w:szCs w:val="20"/>
          <w:lang w:val="en-US" w:eastAsia="zh-CN" w:bidi="ar"/>
        </w:rPr>
        <w:t>After 8 weeks of intervention, the OT, DT, and COF displacement in the experimental group were significantly lower than those in the control group and baseline levels. The balance of bilateral occlusal force distribution in the experimental group was significantly better than that in the control group (</w:t>
      </w:r>
      <w:r>
        <w:rPr>
          <w:rFonts w:hint="eastAsia" w:ascii="Times New Roman" w:hAnsi="Times New Roman" w:eastAsia="宋体" w:cs="Times New Roman"/>
          <w:i/>
          <w:iCs/>
          <w:color w:val="auto"/>
          <w:kern w:val="0"/>
          <w:sz w:val="20"/>
          <w:szCs w:val="20"/>
          <w:lang w:val="en-US" w:eastAsia="zh-CN" w:bidi="ar"/>
        </w:rPr>
        <w:t xml:space="preserve">P </w:t>
      </w:r>
      <w:r>
        <w:rPr>
          <w:rFonts w:hint="eastAsia" w:ascii="Times New Roman" w:hAnsi="Times New Roman" w:eastAsia="宋体" w:cs="Times New Roman"/>
          <w:color w:val="auto"/>
          <w:kern w:val="0"/>
          <w:sz w:val="20"/>
          <w:szCs w:val="20"/>
          <w:lang w:val="en-US" w:eastAsia="zh-CN" w:bidi="ar"/>
        </w:rPr>
        <w:t>&lt; 0.001). The VAS score of the experimental group was significantly lower than that of the control group (</w:t>
      </w:r>
      <w:r>
        <w:rPr>
          <w:rFonts w:hint="eastAsia" w:ascii="Times New Roman" w:hAnsi="Times New Roman" w:eastAsia="宋体" w:cs="Times New Roman"/>
          <w:i/>
          <w:iCs/>
          <w:color w:val="auto"/>
          <w:kern w:val="0"/>
          <w:sz w:val="20"/>
          <w:szCs w:val="20"/>
          <w:lang w:val="en-US" w:eastAsia="zh-CN" w:bidi="ar"/>
        </w:rPr>
        <w:t>P</w:t>
      </w:r>
      <w:r>
        <w:rPr>
          <w:rFonts w:hint="eastAsia" w:ascii="Times New Roman" w:hAnsi="Times New Roman" w:eastAsia="宋体" w:cs="Times New Roman"/>
          <w:color w:val="auto"/>
          <w:kern w:val="0"/>
          <w:sz w:val="20"/>
          <w:szCs w:val="20"/>
          <w:lang w:val="en-US" w:eastAsia="zh-CN" w:bidi="ar"/>
        </w:rPr>
        <w:t xml:space="preserve"> &lt; 0.05), and the JFLS score was also significantly lower (</w:t>
      </w:r>
      <w:r>
        <w:rPr>
          <w:rFonts w:hint="eastAsia" w:ascii="Times New Roman" w:hAnsi="Times New Roman" w:eastAsia="宋体" w:cs="Times New Roman"/>
          <w:i/>
          <w:iCs/>
          <w:color w:val="auto"/>
          <w:kern w:val="0"/>
          <w:sz w:val="20"/>
          <w:szCs w:val="20"/>
          <w:lang w:val="en-US" w:eastAsia="zh-CN" w:bidi="ar"/>
        </w:rPr>
        <w:t>P</w:t>
      </w:r>
      <w:r>
        <w:rPr>
          <w:rFonts w:hint="eastAsia" w:ascii="Times New Roman" w:hAnsi="Times New Roman" w:eastAsia="宋体" w:cs="Times New Roman"/>
          <w:color w:val="auto"/>
          <w:kern w:val="0"/>
          <w:sz w:val="20"/>
          <w:szCs w:val="20"/>
          <w:lang w:val="en-US" w:eastAsia="zh-CN" w:bidi="ar"/>
        </w:rPr>
        <w:t xml:space="preserve"> &lt; 0.001). Additionally, the improvement rates of clinical symptoms, such as morning masticatory muscle fatigue and TMJ clicking, were significantly higher in the experimental group compared to the control group (</w:t>
      </w:r>
      <w:r>
        <w:rPr>
          <w:rFonts w:hint="eastAsia" w:ascii="Times New Roman" w:hAnsi="Times New Roman" w:eastAsia="宋体" w:cs="Times New Roman"/>
          <w:i/>
          <w:iCs/>
          <w:color w:val="auto"/>
          <w:kern w:val="0"/>
          <w:sz w:val="20"/>
          <w:szCs w:val="20"/>
          <w:lang w:val="en-US" w:eastAsia="zh-CN" w:bidi="ar"/>
        </w:rPr>
        <w:t>P</w:t>
      </w:r>
      <w:r>
        <w:rPr>
          <w:rFonts w:hint="eastAsia" w:ascii="Times New Roman" w:hAnsi="Times New Roman" w:eastAsia="宋体" w:cs="Times New Roman"/>
          <w:color w:val="auto"/>
          <w:kern w:val="0"/>
          <w:sz w:val="20"/>
          <w:szCs w:val="20"/>
          <w:lang w:val="en-US" w:eastAsia="zh-CN" w:bidi="ar"/>
        </w:rPr>
        <w:t xml:space="preserve"> &lt; 0.05). </w:t>
      </w:r>
      <w:r>
        <w:rPr>
          <w:rFonts w:hint="eastAsia" w:ascii="Times New Roman" w:hAnsi="Times New Roman" w:eastAsia="宋体" w:cs="Times New Roman"/>
          <w:b/>
          <w:bCs/>
          <w:i/>
          <w:iCs/>
          <w:color w:val="auto"/>
          <w:kern w:val="0"/>
          <w:sz w:val="20"/>
          <w:szCs w:val="20"/>
          <w:lang w:val="en-US" w:eastAsia="zh-CN" w:bidi="ar"/>
        </w:rPr>
        <w:t>Conclusion</w:t>
      </w:r>
      <w:r>
        <w:rPr>
          <w:rFonts w:hint="eastAsia" w:ascii="Times New Roman" w:hAnsi="Times New Roman" w:eastAsia="宋体" w:cs="Times New Roman"/>
          <w:b/>
          <w:bCs/>
          <w:color w:val="auto"/>
          <w:kern w:val="0"/>
          <w:sz w:val="20"/>
          <w:szCs w:val="20"/>
          <w:lang w:val="en-US" w:eastAsia="zh-CN" w:bidi="ar"/>
        </w:rPr>
        <w:t xml:space="preserve">: </w:t>
      </w:r>
      <w:r>
        <w:rPr>
          <w:rFonts w:hint="eastAsia" w:ascii="Times New Roman" w:hAnsi="Times New Roman" w:eastAsia="宋体" w:cs="Times New Roman"/>
          <w:color w:val="auto"/>
          <w:kern w:val="0"/>
          <w:sz w:val="20"/>
          <w:szCs w:val="20"/>
          <w:lang w:val="en-US" w:eastAsia="zh-CN" w:bidi="ar"/>
        </w:rPr>
        <w:t>Rocabado myofunctional training can effectively improve occlusal dynamic characteristics in patients with bruxism. Its therapeutic effect is significantly superior to routine intervention alone, demonstrating high clinical application value.</w:t>
      </w:r>
    </w:p>
    <w:p w14:paraId="6BA67B28">
      <w:pPr>
        <w:rPr>
          <w:rStyle w:val="5"/>
          <w:rFonts w:hint="eastAsia" w:ascii="Times New Roman" w:hAnsi="Times New Roman" w:eastAsia="宋体" w:cs="Times New Roman"/>
          <w:color w:val="auto"/>
          <w:kern w:val="0"/>
          <w:sz w:val="20"/>
          <w:szCs w:val="20"/>
          <w:lang w:val="en-US" w:eastAsia="zh-CN" w:bidi="ar"/>
        </w:rPr>
      </w:pPr>
    </w:p>
    <w:p w14:paraId="66ECAFDC">
      <w:pPr>
        <w:rPr>
          <w:rFonts w:hint="eastAsia"/>
          <w:sz w:val="22"/>
          <w:szCs w:val="28"/>
        </w:rPr>
      </w:pPr>
      <w:r>
        <w:rPr>
          <w:rStyle w:val="5"/>
          <w:rFonts w:hint="eastAsia" w:ascii="Times New Roman" w:hAnsi="Times New Roman" w:eastAsia="宋体" w:cs="Times New Roman"/>
          <w:i/>
          <w:iCs/>
          <w:color w:val="auto"/>
          <w:kern w:val="0"/>
          <w:sz w:val="20"/>
          <w:szCs w:val="20"/>
          <w:lang w:val="en-US" w:eastAsia="zh-CN" w:bidi="ar"/>
        </w:rPr>
        <w:t>Keywords</w:t>
      </w:r>
      <w:r>
        <w:rPr>
          <w:rStyle w:val="5"/>
          <w:rFonts w:hint="eastAsia" w:ascii="Times New Roman" w:hAnsi="Times New Roman" w:eastAsia="宋体" w:cs="Times New Roman"/>
          <w:color w:val="auto"/>
          <w:kern w:val="0"/>
          <w:sz w:val="20"/>
          <w:szCs w:val="20"/>
          <w:lang w:val="en-US" w:eastAsia="zh-CN" w:bidi="ar"/>
        </w:rPr>
        <w:t xml:space="preserve">: </w:t>
      </w:r>
      <w:r>
        <w:rPr>
          <w:rFonts w:hint="eastAsia" w:ascii="Times New Roman" w:hAnsi="Times New Roman" w:eastAsia="宋体" w:cs="Times New Roman"/>
          <w:color w:val="auto"/>
          <w:kern w:val="0"/>
          <w:sz w:val="20"/>
          <w:szCs w:val="20"/>
          <w:lang w:val="en-US" w:eastAsia="zh-CN" w:bidi="ar"/>
        </w:rPr>
        <w:t>Bruxism; Rocabado myofunctional training; T-Scan; occlusal dynamics; temporomandibular joint function</w:t>
      </w:r>
    </w:p>
    <w:p w14:paraId="2C3BD7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84133C"/>
    <w:rsid w:val="21452BD3"/>
    <w:rsid w:val="4B6F10D1"/>
    <w:rsid w:val="5D883BE2"/>
    <w:rsid w:val="624F2F20"/>
    <w:rsid w:val="69184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340</Words>
  <Characters>2087</Characters>
  <Lines>0</Lines>
  <Paragraphs>0</Paragraphs>
  <TotalTime>3</TotalTime>
  <ScaleCrop>false</ScaleCrop>
  <LinksUpToDate>false</LinksUpToDate>
  <CharactersWithSpaces>2422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2026-07-28T08:47:00Z</dcterms:created>
  <dc:creator>admin</dc:creator>
  <cp:lastModifiedBy>Zhou Lingling</cp:lastModifiedBy>
  <dcterms:modified xsi:type="dcterms:W3CDTF">2026-07-29T11:10:34Z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eyJoZGlkIjoiZDE4ZGQzMTA5NGY5NzM2NGJhNzNiYTY1MDkyM2ZhYmUiLCJ1c2VySWQiOiI1MDg2MTAwNzEifQ==</vt:lpwstr>
  </property>
  <property fmtid="{D5CDD505-2E9C-101B-9397-08002B2CF9AE}" pid="4" name="ICV">
    <vt:lpwstr>C0544DBA76DB47C2857B300AFAB310EE_12</vt:lpwstr>
  </property>
</Properties>
</file>