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C71853" w14:textId="77777777" w:rsidR="00CB20A6" w:rsidRPr="00CB20A6" w:rsidRDefault="00CB20A6" w:rsidP="00CB20A6">
      <w:pPr>
        <w:jc w:val="both"/>
        <w:rPr>
          <w:rFonts w:ascii="Times New Roman" w:hAnsi="Times New Roman"/>
          <w:b/>
          <w:bCs/>
          <w:sz w:val="28"/>
          <w:szCs w:val="28"/>
          <w:lang w:val="en-US"/>
        </w:rPr>
      </w:pPr>
      <w:r w:rsidRPr="00CB20A6">
        <w:rPr>
          <w:rFonts w:ascii="Times New Roman" w:hAnsi="Times New Roman"/>
          <w:b/>
          <w:bCs/>
          <w:sz w:val="28"/>
          <w:szCs w:val="28"/>
          <w:lang w:val="en-US"/>
        </w:rPr>
        <w:t>Optimizing Complete Denture Fabrication for Improved Oral Health-Related Quality of Life: An Extended Analysis</w:t>
      </w:r>
    </w:p>
    <w:p w14:paraId="27FCF076" w14:textId="77777777" w:rsidR="00CB20A6" w:rsidRPr="00CB20A6" w:rsidRDefault="00CB20A6" w:rsidP="00CB20A6">
      <w:pPr>
        <w:jc w:val="both"/>
        <w:rPr>
          <w:rFonts w:ascii="Times New Roman" w:hAnsi="Times New Roman"/>
          <w:sz w:val="28"/>
          <w:szCs w:val="28"/>
          <w:lang w:val="en-US"/>
        </w:rPr>
      </w:pPr>
      <w:r w:rsidRPr="00CB20A6">
        <w:rPr>
          <w:rFonts w:ascii="Times New Roman" w:hAnsi="Times New Roman"/>
          <w:b/>
          <w:bCs/>
          <w:sz w:val="28"/>
          <w:szCs w:val="28"/>
          <w:lang w:val="en-US"/>
        </w:rPr>
        <w:t>Author:</w:t>
      </w:r>
      <w:r w:rsidRPr="00CB20A6">
        <w:rPr>
          <w:rFonts w:ascii="Times New Roman" w:hAnsi="Times New Roman"/>
          <w:sz w:val="28"/>
          <w:szCs w:val="28"/>
          <w:lang w:val="en-US"/>
        </w:rPr>
        <w:t xml:space="preserve"> Yuris Idris Bayramov</w:t>
      </w:r>
    </w:p>
    <w:p w14:paraId="2DA19D35" w14:textId="77777777" w:rsidR="00CB20A6" w:rsidRPr="00CB20A6" w:rsidRDefault="00CB20A6" w:rsidP="00CB20A6">
      <w:pPr>
        <w:jc w:val="both"/>
        <w:rPr>
          <w:rFonts w:ascii="Times New Roman" w:hAnsi="Times New Roman"/>
          <w:sz w:val="28"/>
          <w:szCs w:val="28"/>
          <w:lang w:val="en-US"/>
        </w:rPr>
      </w:pPr>
      <w:r w:rsidRPr="00CB20A6">
        <w:rPr>
          <w:rFonts w:ascii="Times New Roman" w:hAnsi="Times New Roman"/>
          <w:b/>
          <w:bCs/>
          <w:sz w:val="28"/>
          <w:szCs w:val="28"/>
          <w:lang w:val="en-US"/>
        </w:rPr>
        <w:t>Department:</w:t>
      </w:r>
      <w:r w:rsidRPr="00CB20A6">
        <w:rPr>
          <w:rFonts w:ascii="Times New Roman" w:hAnsi="Times New Roman"/>
          <w:sz w:val="28"/>
          <w:szCs w:val="28"/>
          <w:lang w:val="en-US"/>
        </w:rPr>
        <w:t xml:space="preserve"> Department of Orthopedic Dentistry, Azerbaijan Medical University, Baku, Azerbaijan</w:t>
      </w:r>
    </w:p>
    <w:p w14:paraId="2C18D8E4" w14:textId="77777777" w:rsidR="00CB20A6" w:rsidRPr="00CB20A6" w:rsidRDefault="00CB20A6" w:rsidP="00CB20A6">
      <w:pPr>
        <w:jc w:val="both"/>
        <w:rPr>
          <w:rFonts w:ascii="Times New Roman" w:hAnsi="Times New Roman"/>
          <w:sz w:val="28"/>
          <w:szCs w:val="28"/>
          <w:lang w:val="en-US"/>
        </w:rPr>
      </w:pPr>
      <w:r w:rsidRPr="00CB20A6">
        <w:rPr>
          <w:rFonts w:ascii="Times New Roman" w:hAnsi="Times New Roman"/>
          <w:b/>
          <w:bCs/>
          <w:sz w:val="28"/>
          <w:szCs w:val="28"/>
          <w:lang w:val="en-US"/>
        </w:rPr>
        <w:t>ORCID:</w:t>
      </w:r>
      <w:r w:rsidRPr="00CB20A6">
        <w:rPr>
          <w:rFonts w:ascii="Times New Roman" w:hAnsi="Times New Roman"/>
          <w:sz w:val="28"/>
          <w:szCs w:val="28"/>
          <w:lang w:val="en-US"/>
        </w:rPr>
        <w:t xml:space="preserve"> 0009-0001-8602-0007</w:t>
      </w:r>
    </w:p>
    <w:p w14:paraId="5045661D" w14:textId="77777777" w:rsidR="00CB20A6" w:rsidRPr="00CB20A6" w:rsidRDefault="00CB20A6" w:rsidP="00CB20A6">
      <w:pPr>
        <w:jc w:val="both"/>
        <w:rPr>
          <w:rFonts w:ascii="Times New Roman" w:hAnsi="Times New Roman"/>
          <w:b/>
          <w:bCs/>
          <w:sz w:val="28"/>
          <w:szCs w:val="28"/>
          <w:lang w:val="en-US"/>
        </w:rPr>
      </w:pPr>
      <w:r w:rsidRPr="00CB20A6">
        <w:rPr>
          <w:rFonts w:ascii="Times New Roman" w:hAnsi="Times New Roman"/>
          <w:b/>
          <w:bCs/>
          <w:sz w:val="28"/>
          <w:szCs w:val="28"/>
          <w:lang w:val="en-US"/>
        </w:rPr>
        <w:t>Introduction</w:t>
      </w:r>
    </w:p>
    <w:p w14:paraId="116B44B9" w14:textId="77777777" w:rsidR="00CB20A6" w:rsidRPr="00CB20A6" w:rsidRDefault="00CB20A6" w:rsidP="00CB20A6">
      <w:pPr>
        <w:jc w:val="both"/>
        <w:rPr>
          <w:rFonts w:ascii="Times New Roman" w:hAnsi="Times New Roman"/>
          <w:sz w:val="28"/>
          <w:szCs w:val="28"/>
          <w:lang w:val="en-US"/>
        </w:rPr>
      </w:pPr>
      <w:r w:rsidRPr="00CB20A6">
        <w:rPr>
          <w:rFonts w:ascii="Times New Roman" w:hAnsi="Times New Roman"/>
          <w:sz w:val="28"/>
          <w:szCs w:val="28"/>
          <w:lang w:val="en-US"/>
        </w:rPr>
        <w:t>Complete edentulism is a complex clinical and systemic condition that profoundly compromises the quality of life of affected individuals. It is not merely a loss of dental units but a systemic impairment affecting masticatory efficiency, phonetic clarity, facial aesthetics, and overall psychosocial integrity. Anatomically, this condition manifests as progressive alveolar bone resorption, muscular atrophy, and significant morphological changes, often resulting in a "senile progenic" facial appearance. The reduction of the lower third of the facial height, coupled with atrophy of the oral mucosa and periodontal supporting tissues, necessitates a sophisticated orthopedic approach. While conventional complete dentures (CDs) remain the standard treatment for a vast majority of edentulous patients, the clinical success of this modality is frequently challenged by biological and technical variables. The primary objective of this study is to evaluate the clinical efficacy of an optimized, standardized fabrication protocol on Oral Health-Related Quality of Life (OHRQoL) in patients with secondary complete edentulism. By refining each clinical and laboratory stage—from anatomical impression to final prosthesis delivery—we hypothesize that a more predictable and patient-centered outcome can be achieved.</w:t>
      </w:r>
    </w:p>
    <w:p w14:paraId="5B382D0B" w14:textId="77777777" w:rsidR="00CB20A6" w:rsidRPr="00CB20A6" w:rsidRDefault="00CB20A6" w:rsidP="00CB20A6">
      <w:pPr>
        <w:jc w:val="both"/>
        <w:rPr>
          <w:rFonts w:ascii="Times New Roman" w:hAnsi="Times New Roman"/>
          <w:b/>
          <w:bCs/>
          <w:sz w:val="28"/>
          <w:szCs w:val="28"/>
          <w:lang w:val="en-US"/>
        </w:rPr>
      </w:pPr>
      <w:r w:rsidRPr="00CB20A6">
        <w:rPr>
          <w:rFonts w:ascii="Times New Roman" w:hAnsi="Times New Roman"/>
          <w:b/>
          <w:bCs/>
          <w:sz w:val="28"/>
          <w:szCs w:val="28"/>
          <w:lang w:val="en-US"/>
        </w:rPr>
        <w:t>Materials and Methods</w:t>
      </w:r>
    </w:p>
    <w:p w14:paraId="1524F5E9" w14:textId="77777777" w:rsidR="00CB20A6" w:rsidRPr="00CB20A6" w:rsidRDefault="00CB20A6" w:rsidP="00CB20A6">
      <w:pPr>
        <w:jc w:val="both"/>
        <w:rPr>
          <w:rFonts w:ascii="Times New Roman" w:hAnsi="Times New Roman"/>
          <w:sz w:val="28"/>
          <w:szCs w:val="28"/>
          <w:lang w:val="en-US"/>
        </w:rPr>
      </w:pPr>
      <w:r w:rsidRPr="00CB20A6">
        <w:rPr>
          <w:rFonts w:ascii="Times New Roman" w:hAnsi="Times New Roman"/>
          <w:sz w:val="28"/>
          <w:szCs w:val="28"/>
          <w:lang w:val="en-US"/>
        </w:rPr>
        <w:t>This prospective clinical investigation involved a cohort of 204 completely edentulous patients (102 men and 102 women) aged 45–90 years. Patients were recruited from the Department of Orthopedic Dentistry at Azerbaijan Medical University. The methodological framework was built upon a rigorous, evidence-based clinical workflow:</w:t>
      </w:r>
    </w:p>
    <w:p w14:paraId="45FAA93C" w14:textId="77777777" w:rsidR="00CB20A6" w:rsidRPr="00CB20A6" w:rsidRDefault="00CB20A6" w:rsidP="00CB20A6">
      <w:pPr>
        <w:numPr>
          <w:ilvl w:val="0"/>
          <w:numId w:val="1"/>
        </w:numPr>
        <w:jc w:val="both"/>
        <w:rPr>
          <w:rFonts w:ascii="Times New Roman" w:hAnsi="Times New Roman"/>
          <w:sz w:val="28"/>
          <w:szCs w:val="28"/>
          <w:lang w:val="en-US"/>
        </w:rPr>
      </w:pPr>
      <w:r w:rsidRPr="00CB20A6">
        <w:rPr>
          <w:rFonts w:ascii="Times New Roman" w:hAnsi="Times New Roman"/>
          <w:b/>
          <w:bCs/>
          <w:sz w:val="28"/>
          <w:szCs w:val="28"/>
          <w:lang w:val="en-US"/>
        </w:rPr>
        <w:t>Comprehensive Clinical Examination:</w:t>
      </w:r>
      <w:r w:rsidRPr="00CB20A6">
        <w:rPr>
          <w:rFonts w:ascii="Times New Roman" w:hAnsi="Times New Roman"/>
          <w:sz w:val="28"/>
          <w:szCs w:val="28"/>
          <w:lang w:val="en-US"/>
        </w:rPr>
        <w:t xml:space="preserve"> Assessment of the alveolar ridge and mucosal health based on Supple and Oksman classifications, followed by treatment planning.</w:t>
      </w:r>
    </w:p>
    <w:p w14:paraId="3C3B487A" w14:textId="77777777" w:rsidR="00CB20A6" w:rsidRPr="00CB20A6" w:rsidRDefault="00CB20A6" w:rsidP="00CB20A6">
      <w:pPr>
        <w:numPr>
          <w:ilvl w:val="0"/>
          <w:numId w:val="1"/>
        </w:numPr>
        <w:jc w:val="both"/>
        <w:rPr>
          <w:rFonts w:ascii="Times New Roman" w:hAnsi="Times New Roman"/>
          <w:sz w:val="28"/>
          <w:szCs w:val="28"/>
          <w:lang w:val="en-US"/>
        </w:rPr>
      </w:pPr>
      <w:r w:rsidRPr="00CB20A6">
        <w:rPr>
          <w:rFonts w:ascii="Times New Roman" w:hAnsi="Times New Roman"/>
          <w:b/>
          <w:bCs/>
          <w:sz w:val="28"/>
          <w:szCs w:val="28"/>
          <w:lang w:val="en-US"/>
        </w:rPr>
        <w:t>Impression Procedures:</w:t>
      </w:r>
      <w:r w:rsidRPr="00CB20A6">
        <w:rPr>
          <w:rFonts w:ascii="Times New Roman" w:hAnsi="Times New Roman"/>
          <w:sz w:val="28"/>
          <w:szCs w:val="28"/>
          <w:lang w:val="en-US"/>
        </w:rPr>
        <w:t xml:space="preserve"> Anatomical impression taking, followed by meticulous functional border molding and definitive impression refinement.</w:t>
      </w:r>
    </w:p>
    <w:p w14:paraId="49583674" w14:textId="77777777" w:rsidR="00CB20A6" w:rsidRPr="00CB20A6" w:rsidRDefault="00CB20A6" w:rsidP="00CB20A6">
      <w:pPr>
        <w:numPr>
          <w:ilvl w:val="0"/>
          <w:numId w:val="1"/>
        </w:numPr>
        <w:jc w:val="both"/>
        <w:rPr>
          <w:rFonts w:ascii="Times New Roman" w:hAnsi="Times New Roman"/>
          <w:sz w:val="28"/>
          <w:szCs w:val="28"/>
          <w:lang w:val="en-US"/>
        </w:rPr>
      </w:pPr>
      <w:r w:rsidRPr="00CB20A6">
        <w:rPr>
          <w:rFonts w:ascii="Times New Roman" w:hAnsi="Times New Roman"/>
          <w:b/>
          <w:bCs/>
          <w:sz w:val="28"/>
          <w:szCs w:val="28"/>
          <w:lang w:val="en-US"/>
        </w:rPr>
        <w:t>Workflow Optimization:</w:t>
      </w:r>
      <w:r w:rsidRPr="00CB20A6">
        <w:rPr>
          <w:rFonts w:ascii="Times New Roman" w:hAnsi="Times New Roman"/>
          <w:sz w:val="28"/>
          <w:szCs w:val="28"/>
          <w:lang w:val="en-US"/>
        </w:rPr>
        <w:t xml:space="preserve"> A critical component was the integration of Herbst tests (5:7) during the try-in phase. We utilized thermoplastic materials for </w:t>
      </w:r>
      <w:r w:rsidRPr="00CB20A6">
        <w:rPr>
          <w:rFonts w:ascii="Times New Roman" w:hAnsi="Times New Roman"/>
          <w:sz w:val="28"/>
          <w:szCs w:val="28"/>
          <w:lang w:val="en-US"/>
        </w:rPr>
        <w:lastRenderedPageBreak/>
        <w:t>border molding and A-silicone (repin) for final impression refinement to ensure a stable circular sealing valve.</w:t>
      </w:r>
    </w:p>
    <w:p w14:paraId="582DDA94" w14:textId="77777777" w:rsidR="00CB20A6" w:rsidRPr="00CB20A6" w:rsidRDefault="00CB20A6" w:rsidP="00CB20A6">
      <w:pPr>
        <w:numPr>
          <w:ilvl w:val="0"/>
          <w:numId w:val="1"/>
        </w:numPr>
        <w:jc w:val="both"/>
        <w:rPr>
          <w:rFonts w:ascii="Times New Roman" w:hAnsi="Times New Roman"/>
          <w:sz w:val="28"/>
          <w:szCs w:val="28"/>
          <w:lang w:val="en-US"/>
        </w:rPr>
      </w:pPr>
      <w:r w:rsidRPr="00CB20A6">
        <w:rPr>
          <w:rFonts w:ascii="Times New Roman" w:hAnsi="Times New Roman"/>
          <w:b/>
          <w:bCs/>
          <w:sz w:val="28"/>
          <w:szCs w:val="28"/>
          <w:lang w:val="en-US"/>
        </w:rPr>
        <w:t>Registration and Fabrication:</w:t>
      </w:r>
      <w:r w:rsidRPr="00CB20A6">
        <w:rPr>
          <w:rFonts w:ascii="Times New Roman" w:hAnsi="Times New Roman"/>
          <w:sz w:val="28"/>
          <w:szCs w:val="28"/>
          <w:lang w:val="en-US"/>
        </w:rPr>
        <w:t xml:space="preserve"> Maxillomandibular relationship registration, including vertical dimension and centric relation, was performed using standardized laboratory procedures to ensure precision in tooth arrangement.</w:t>
      </w:r>
    </w:p>
    <w:p w14:paraId="722742D1" w14:textId="77777777" w:rsidR="00CB20A6" w:rsidRPr="00CB20A6" w:rsidRDefault="00CB20A6" w:rsidP="00CB20A6">
      <w:pPr>
        <w:jc w:val="both"/>
        <w:rPr>
          <w:rFonts w:ascii="Times New Roman" w:hAnsi="Times New Roman"/>
          <w:sz w:val="28"/>
          <w:szCs w:val="28"/>
          <w:lang w:val="en-US"/>
        </w:rPr>
      </w:pPr>
      <w:r w:rsidRPr="00CB20A6">
        <w:rPr>
          <w:rFonts w:ascii="Times New Roman" w:hAnsi="Times New Roman"/>
          <w:sz w:val="28"/>
          <w:szCs w:val="28"/>
          <w:lang w:val="en-US"/>
        </w:rPr>
        <w:t>OHRQoL was evaluated using the validated OHIP-14 Ru (Oral Health Impact Profile) questionnaire, administered at the baseline and 33 days after prosthesis insertion. Statistical analysis was performed using comparative methods to assess changes in masticatory, phonetic, and psychological domains.</w:t>
      </w:r>
    </w:p>
    <w:p w14:paraId="673B5112" w14:textId="77777777" w:rsidR="00CB20A6" w:rsidRPr="00CB20A6" w:rsidRDefault="00CB20A6" w:rsidP="00CB20A6">
      <w:pPr>
        <w:jc w:val="both"/>
        <w:rPr>
          <w:rFonts w:ascii="Times New Roman" w:hAnsi="Times New Roman"/>
          <w:b/>
          <w:bCs/>
          <w:sz w:val="28"/>
          <w:szCs w:val="28"/>
          <w:lang w:val="en-US"/>
        </w:rPr>
      </w:pPr>
      <w:r w:rsidRPr="00CB20A6">
        <w:rPr>
          <w:rFonts w:ascii="Times New Roman" w:hAnsi="Times New Roman"/>
          <w:b/>
          <w:bCs/>
          <w:sz w:val="28"/>
          <w:szCs w:val="28"/>
          <w:lang w:val="en-US"/>
        </w:rPr>
        <w:t>Results</w:t>
      </w:r>
    </w:p>
    <w:p w14:paraId="69A21733" w14:textId="77777777" w:rsidR="00CB20A6" w:rsidRPr="00CB20A6" w:rsidRDefault="00CB20A6" w:rsidP="00CB20A6">
      <w:pPr>
        <w:jc w:val="both"/>
        <w:rPr>
          <w:rFonts w:ascii="Times New Roman" w:hAnsi="Times New Roman"/>
          <w:sz w:val="28"/>
          <w:szCs w:val="28"/>
          <w:lang w:val="en-US"/>
        </w:rPr>
      </w:pPr>
      <w:r w:rsidRPr="00CB20A6">
        <w:rPr>
          <w:rFonts w:ascii="Times New Roman" w:hAnsi="Times New Roman"/>
          <w:sz w:val="28"/>
          <w:szCs w:val="28"/>
          <w:lang w:val="en-US"/>
        </w:rPr>
        <w:t>Comparative statistical analysis demonstrated a significant improvement in patient-reported outcomes 33 days post-rehabilitation. Participants reported substantially lower OHIP-14 scores across all evaluated domains (p&lt;0.001), reflecting enhanced functional adaptation and reduced limitations in daily life.</w:t>
      </w:r>
    </w:p>
    <w:p w14:paraId="0A60DC71" w14:textId="77777777" w:rsidR="00CB20A6" w:rsidRPr="00CB20A6" w:rsidRDefault="00CB20A6" w:rsidP="00CB20A6">
      <w:pPr>
        <w:numPr>
          <w:ilvl w:val="0"/>
          <w:numId w:val="2"/>
        </w:numPr>
        <w:jc w:val="both"/>
        <w:rPr>
          <w:rFonts w:ascii="Times New Roman" w:hAnsi="Times New Roman"/>
          <w:sz w:val="28"/>
          <w:szCs w:val="28"/>
        </w:rPr>
      </w:pPr>
      <w:proofErr w:type="spellStart"/>
      <w:r w:rsidRPr="00CB20A6">
        <w:rPr>
          <w:rFonts w:ascii="Times New Roman" w:hAnsi="Times New Roman"/>
          <w:b/>
          <w:bCs/>
          <w:sz w:val="28"/>
          <w:szCs w:val="28"/>
        </w:rPr>
        <w:t>Masticatory</w:t>
      </w:r>
      <w:proofErr w:type="spellEnd"/>
      <w:r w:rsidRPr="00CB20A6">
        <w:rPr>
          <w:rFonts w:ascii="Times New Roman" w:hAnsi="Times New Roman"/>
          <w:b/>
          <w:bCs/>
          <w:sz w:val="28"/>
          <w:szCs w:val="28"/>
        </w:rPr>
        <w:t xml:space="preserve"> </w:t>
      </w:r>
      <w:proofErr w:type="spellStart"/>
      <w:r w:rsidRPr="00CB20A6">
        <w:rPr>
          <w:rFonts w:ascii="Times New Roman" w:hAnsi="Times New Roman"/>
          <w:b/>
          <w:bCs/>
          <w:sz w:val="28"/>
          <w:szCs w:val="28"/>
        </w:rPr>
        <w:t>Efficiency</w:t>
      </w:r>
      <w:proofErr w:type="spellEnd"/>
      <w:r w:rsidRPr="00CB20A6">
        <w:rPr>
          <w:rFonts w:ascii="Times New Roman" w:hAnsi="Times New Roman"/>
          <w:b/>
          <w:bCs/>
          <w:sz w:val="28"/>
          <w:szCs w:val="28"/>
        </w:rPr>
        <w:t>:</w:t>
      </w:r>
      <w:r w:rsidRPr="00CB20A6">
        <w:rPr>
          <w:rFonts w:ascii="Times New Roman" w:hAnsi="Times New Roman"/>
          <w:sz w:val="28"/>
          <w:szCs w:val="28"/>
        </w:rPr>
        <w:t xml:space="preserve"> 5.9 ± 0.2 </w:t>
      </w:r>
      <w:proofErr w:type="spellStart"/>
      <w:r w:rsidRPr="00CB20A6">
        <w:rPr>
          <w:rFonts w:ascii="Times New Roman" w:hAnsi="Times New Roman"/>
          <w:sz w:val="28"/>
          <w:szCs w:val="28"/>
        </w:rPr>
        <w:t>points</w:t>
      </w:r>
      <w:proofErr w:type="spellEnd"/>
      <w:r w:rsidRPr="00CB20A6">
        <w:rPr>
          <w:rFonts w:ascii="Times New Roman" w:hAnsi="Times New Roman"/>
          <w:sz w:val="28"/>
          <w:szCs w:val="28"/>
        </w:rPr>
        <w:t>.</w:t>
      </w:r>
    </w:p>
    <w:p w14:paraId="40F59785" w14:textId="77777777" w:rsidR="00CB20A6" w:rsidRPr="00CB20A6" w:rsidRDefault="00CB20A6" w:rsidP="00CB20A6">
      <w:pPr>
        <w:numPr>
          <w:ilvl w:val="0"/>
          <w:numId w:val="2"/>
        </w:numPr>
        <w:jc w:val="both"/>
        <w:rPr>
          <w:rFonts w:ascii="Times New Roman" w:hAnsi="Times New Roman"/>
          <w:sz w:val="28"/>
          <w:szCs w:val="28"/>
        </w:rPr>
      </w:pPr>
      <w:proofErr w:type="spellStart"/>
      <w:r w:rsidRPr="00CB20A6">
        <w:rPr>
          <w:rFonts w:ascii="Times New Roman" w:hAnsi="Times New Roman"/>
          <w:b/>
          <w:bCs/>
          <w:sz w:val="28"/>
          <w:szCs w:val="28"/>
        </w:rPr>
        <w:t>Speech</w:t>
      </w:r>
      <w:proofErr w:type="spellEnd"/>
      <w:r w:rsidRPr="00CB20A6">
        <w:rPr>
          <w:rFonts w:ascii="Times New Roman" w:hAnsi="Times New Roman"/>
          <w:b/>
          <w:bCs/>
          <w:sz w:val="28"/>
          <w:szCs w:val="28"/>
        </w:rPr>
        <w:t xml:space="preserve"> </w:t>
      </w:r>
      <w:proofErr w:type="spellStart"/>
      <w:r w:rsidRPr="00CB20A6">
        <w:rPr>
          <w:rFonts w:ascii="Times New Roman" w:hAnsi="Times New Roman"/>
          <w:b/>
          <w:bCs/>
          <w:sz w:val="28"/>
          <w:szCs w:val="28"/>
        </w:rPr>
        <w:t>Articulation</w:t>
      </w:r>
      <w:proofErr w:type="spellEnd"/>
      <w:r w:rsidRPr="00CB20A6">
        <w:rPr>
          <w:rFonts w:ascii="Times New Roman" w:hAnsi="Times New Roman"/>
          <w:b/>
          <w:bCs/>
          <w:sz w:val="28"/>
          <w:szCs w:val="28"/>
        </w:rPr>
        <w:t>:</w:t>
      </w:r>
      <w:r w:rsidRPr="00CB20A6">
        <w:rPr>
          <w:rFonts w:ascii="Times New Roman" w:hAnsi="Times New Roman"/>
          <w:sz w:val="28"/>
          <w:szCs w:val="28"/>
        </w:rPr>
        <w:t xml:space="preserve"> 3.5 ± 0.1 </w:t>
      </w:r>
      <w:proofErr w:type="spellStart"/>
      <w:r w:rsidRPr="00CB20A6">
        <w:rPr>
          <w:rFonts w:ascii="Times New Roman" w:hAnsi="Times New Roman"/>
          <w:sz w:val="28"/>
          <w:szCs w:val="28"/>
        </w:rPr>
        <w:t>points</w:t>
      </w:r>
      <w:proofErr w:type="spellEnd"/>
      <w:r w:rsidRPr="00CB20A6">
        <w:rPr>
          <w:rFonts w:ascii="Times New Roman" w:hAnsi="Times New Roman"/>
          <w:sz w:val="28"/>
          <w:szCs w:val="28"/>
        </w:rPr>
        <w:t>.</w:t>
      </w:r>
    </w:p>
    <w:p w14:paraId="28C29333" w14:textId="77777777" w:rsidR="00CB20A6" w:rsidRPr="00CB20A6" w:rsidRDefault="00CB20A6" w:rsidP="00CB20A6">
      <w:pPr>
        <w:numPr>
          <w:ilvl w:val="0"/>
          <w:numId w:val="2"/>
        </w:numPr>
        <w:jc w:val="both"/>
        <w:rPr>
          <w:rFonts w:ascii="Times New Roman" w:hAnsi="Times New Roman"/>
          <w:sz w:val="28"/>
          <w:szCs w:val="28"/>
        </w:rPr>
      </w:pPr>
      <w:proofErr w:type="spellStart"/>
      <w:r w:rsidRPr="00CB20A6">
        <w:rPr>
          <w:rFonts w:ascii="Times New Roman" w:hAnsi="Times New Roman"/>
          <w:b/>
          <w:bCs/>
          <w:sz w:val="28"/>
          <w:szCs w:val="28"/>
        </w:rPr>
        <w:t>Daily</w:t>
      </w:r>
      <w:proofErr w:type="spellEnd"/>
      <w:r w:rsidRPr="00CB20A6">
        <w:rPr>
          <w:rFonts w:ascii="Times New Roman" w:hAnsi="Times New Roman"/>
          <w:b/>
          <w:bCs/>
          <w:sz w:val="28"/>
          <w:szCs w:val="28"/>
        </w:rPr>
        <w:t xml:space="preserve"> </w:t>
      </w:r>
      <w:proofErr w:type="spellStart"/>
      <w:r w:rsidRPr="00CB20A6">
        <w:rPr>
          <w:rFonts w:ascii="Times New Roman" w:hAnsi="Times New Roman"/>
          <w:b/>
          <w:bCs/>
          <w:sz w:val="28"/>
          <w:szCs w:val="28"/>
        </w:rPr>
        <w:t>Functioning</w:t>
      </w:r>
      <w:proofErr w:type="spellEnd"/>
      <w:r w:rsidRPr="00CB20A6">
        <w:rPr>
          <w:rFonts w:ascii="Times New Roman" w:hAnsi="Times New Roman"/>
          <w:b/>
          <w:bCs/>
          <w:sz w:val="28"/>
          <w:szCs w:val="28"/>
        </w:rPr>
        <w:t>:</w:t>
      </w:r>
      <w:r w:rsidRPr="00CB20A6">
        <w:rPr>
          <w:rFonts w:ascii="Times New Roman" w:hAnsi="Times New Roman"/>
          <w:sz w:val="28"/>
          <w:szCs w:val="28"/>
        </w:rPr>
        <w:t xml:space="preserve"> 2.0 ± 0.1 </w:t>
      </w:r>
      <w:proofErr w:type="spellStart"/>
      <w:r w:rsidRPr="00CB20A6">
        <w:rPr>
          <w:rFonts w:ascii="Times New Roman" w:hAnsi="Times New Roman"/>
          <w:sz w:val="28"/>
          <w:szCs w:val="28"/>
        </w:rPr>
        <w:t>points</w:t>
      </w:r>
      <w:proofErr w:type="spellEnd"/>
      <w:r w:rsidRPr="00CB20A6">
        <w:rPr>
          <w:rFonts w:ascii="Times New Roman" w:hAnsi="Times New Roman"/>
          <w:sz w:val="28"/>
          <w:szCs w:val="28"/>
        </w:rPr>
        <w:t>.</w:t>
      </w:r>
    </w:p>
    <w:p w14:paraId="4B95C2C0" w14:textId="77777777" w:rsidR="00CB20A6" w:rsidRPr="00CB20A6" w:rsidRDefault="00CB20A6" w:rsidP="00CB20A6">
      <w:pPr>
        <w:numPr>
          <w:ilvl w:val="0"/>
          <w:numId w:val="2"/>
        </w:numPr>
        <w:jc w:val="both"/>
        <w:rPr>
          <w:rFonts w:ascii="Times New Roman" w:hAnsi="Times New Roman"/>
          <w:sz w:val="28"/>
          <w:szCs w:val="28"/>
        </w:rPr>
      </w:pPr>
      <w:proofErr w:type="spellStart"/>
      <w:r w:rsidRPr="00CB20A6">
        <w:rPr>
          <w:rFonts w:ascii="Times New Roman" w:hAnsi="Times New Roman"/>
          <w:b/>
          <w:bCs/>
          <w:sz w:val="28"/>
          <w:szCs w:val="28"/>
        </w:rPr>
        <w:t>Overall</w:t>
      </w:r>
      <w:proofErr w:type="spellEnd"/>
      <w:r w:rsidRPr="00CB20A6">
        <w:rPr>
          <w:rFonts w:ascii="Times New Roman" w:hAnsi="Times New Roman"/>
          <w:b/>
          <w:bCs/>
          <w:sz w:val="28"/>
          <w:szCs w:val="28"/>
        </w:rPr>
        <w:t xml:space="preserve"> </w:t>
      </w:r>
      <w:proofErr w:type="spellStart"/>
      <w:r w:rsidRPr="00CB20A6">
        <w:rPr>
          <w:rFonts w:ascii="Times New Roman" w:hAnsi="Times New Roman"/>
          <w:b/>
          <w:bCs/>
          <w:sz w:val="28"/>
          <w:szCs w:val="28"/>
        </w:rPr>
        <w:t>OHRQoL</w:t>
      </w:r>
      <w:proofErr w:type="spellEnd"/>
      <w:r w:rsidRPr="00CB20A6">
        <w:rPr>
          <w:rFonts w:ascii="Times New Roman" w:hAnsi="Times New Roman"/>
          <w:b/>
          <w:bCs/>
          <w:sz w:val="28"/>
          <w:szCs w:val="28"/>
        </w:rPr>
        <w:t xml:space="preserve"> </w:t>
      </w:r>
      <w:proofErr w:type="spellStart"/>
      <w:r w:rsidRPr="00CB20A6">
        <w:rPr>
          <w:rFonts w:ascii="Times New Roman" w:hAnsi="Times New Roman"/>
          <w:b/>
          <w:bCs/>
          <w:sz w:val="28"/>
          <w:szCs w:val="28"/>
        </w:rPr>
        <w:t>Index</w:t>
      </w:r>
      <w:proofErr w:type="spellEnd"/>
      <w:r w:rsidRPr="00CB20A6">
        <w:rPr>
          <w:rFonts w:ascii="Times New Roman" w:hAnsi="Times New Roman"/>
          <w:b/>
          <w:bCs/>
          <w:sz w:val="28"/>
          <w:szCs w:val="28"/>
        </w:rPr>
        <w:t>:</w:t>
      </w:r>
      <w:r w:rsidRPr="00CB20A6">
        <w:rPr>
          <w:rFonts w:ascii="Times New Roman" w:hAnsi="Times New Roman"/>
          <w:sz w:val="28"/>
          <w:szCs w:val="28"/>
        </w:rPr>
        <w:t xml:space="preserve"> 11.4 ± 0.3 </w:t>
      </w:r>
      <w:proofErr w:type="spellStart"/>
      <w:r w:rsidRPr="00CB20A6">
        <w:rPr>
          <w:rFonts w:ascii="Times New Roman" w:hAnsi="Times New Roman"/>
          <w:sz w:val="28"/>
          <w:szCs w:val="28"/>
        </w:rPr>
        <w:t>points</w:t>
      </w:r>
      <w:proofErr w:type="spellEnd"/>
      <w:r w:rsidRPr="00CB20A6">
        <w:rPr>
          <w:rFonts w:ascii="Times New Roman" w:hAnsi="Times New Roman"/>
          <w:sz w:val="28"/>
          <w:szCs w:val="28"/>
        </w:rPr>
        <w:t>.</w:t>
      </w:r>
    </w:p>
    <w:p w14:paraId="4B5D1492" w14:textId="77777777" w:rsidR="00CB20A6" w:rsidRPr="00CB20A6" w:rsidRDefault="00CB20A6" w:rsidP="00CB20A6">
      <w:pPr>
        <w:jc w:val="both"/>
        <w:rPr>
          <w:rFonts w:ascii="Times New Roman" w:hAnsi="Times New Roman"/>
          <w:sz w:val="28"/>
          <w:szCs w:val="28"/>
          <w:lang w:val="en-US"/>
        </w:rPr>
      </w:pPr>
      <w:r w:rsidRPr="00CB20A6">
        <w:rPr>
          <w:rFonts w:ascii="Times New Roman" w:hAnsi="Times New Roman"/>
          <w:sz w:val="28"/>
          <w:szCs w:val="28"/>
          <w:lang w:val="en-US"/>
        </w:rPr>
        <w:t>These results indicate a direct correlation between the precision of the clinical workflow and the patient’s ability to adapt to the prosthesis. The optimized protocol effectively minimized traditional challenges such as instability, soreness, and lack of retention, thereby reducing the negative psychosocial impact of complete edentulism.</w:t>
      </w:r>
    </w:p>
    <w:p w14:paraId="4CEAF031" w14:textId="77777777" w:rsidR="00CB20A6" w:rsidRPr="00CB20A6" w:rsidRDefault="00CB20A6" w:rsidP="00CB20A6">
      <w:pPr>
        <w:jc w:val="both"/>
        <w:rPr>
          <w:rFonts w:ascii="Times New Roman" w:hAnsi="Times New Roman"/>
          <w:b/>
          <w:bCs/>
          <w:sz w:val="28"/>
          <w:szCs w:val="28"/>
          <w:lang w:val="en-US"/>
        </w:rPr>
      </w:pPr>
      <w:r w:rsidRPr="00CB20A6">
        <w:rPr>
          <w:rFonts w:ascii="Times New Roman" w:hAnsi="Times New Roman"/>
          <w:b/>
          <w:bCs/>
          <w:sz w:val="28"/>
          <w:szCs w:val="28"/>
          <w:lang w:val="en-US"/>
        </w:rPr>
        <w:t>Discussion</w:t>
      </w:r>
    </w:p>
    <w:p w14:paraId="6C0D68C1" w14:textId="77777777" w:rsidR="00CB20A6" w:rsidRPr="00CB20A6" w:rsidRDefault="00CB20A6" w:rsidP="00CB20A6">
      <w:pPr>
        <w:jc w:val="both"/>
        <w:rPr>
          <w:rFonts w:ascii="Times New Roman" w:hAnsi="Times New Roman"/>
          <w:sz w:val="28"/>
          <w:szCs w:val="28"/>
          <w:lang w:val="en-US"/>
        </w:rPr>
      </w:pPr>
      <w:r w:rsidRPr="00CB20A6">
        <w:rPr>
          <w:rFonts w:ascii="Times New Roman" w:hAnsi="Times New Roman"/>
          <w:sz w:val="28"/>
          <w:szCs w:val="28"/>
          <w:lang w:val="en-US"/>
        </w:rPr>
        <w:t>The findings underscore that standardization in orthopedic dentistry is a powerful tool for clinical predictability. Unlike conventional methods, our optimized protocol emphasizes the role of the "oral architect" in ensuring that artificial prostheses not only replace missing teeth but also restore the integrity of the stomatognathic system. The significant reduction in OHIP-14 scores suggests that patients perceive higher quality when the clinical sequence adheres to rigorous, evidence-based standards. The integration of Herbst trials and precise border molding creates a better suction effect, directly impacting the psychological comfort of the patient. These results align with previous studies asserting that standardized care reduces the stigma of edentulism and fosters a patient-centered approach to prosthodontic rehabilitation.</w:t>
      </w:r>
    </w:p>
    <w:p w14:paraId="5978B5F6" w14:textId="77777777" w:rsidR="00CB20A6" w:rsidRPr="00CB20A6" w:rsidRDefault="00CB20A6" w:rsidP="00CB20A6">
      <w:pPr>
        <w:jc w:val="both"/>
        <w:rPr>
          <w:rFonts w:ascii="Times New Roman" w:hAnsi="Times New Roman"/>
          <w:b/>
          <w:bCs/>
          <w:sz w:val="28"/>
          <w:szCs w:val="28"/>
          <w:lang w:val="en-US"/>
        </w:rPr>
      </w:pPr>
      <w:r w:rsidRPr="00CB20A6">
        <w:rPr>
          <w:rFonts w:ascii="Times New Roman" w:hAnsi="Times New Roman"/>
          <w:b/>
          <w:bCs/>
          <w:sz w:val="28"/>
          <w:szCs w:val="28"/>
          <w:lang w:val="en-US"/>
        </w:rPr>
        <w:t>Conclusion</w:t>
      </w:r>
    </w:p>
    <w:p w14:paraId="06E99655" w14:textId="77777777" w:rsidR="00CB20A6" w:rsidRPr="00CB20A6" w:rsidRDefault="00CB20A6" w:rsidP="00CB20A6">
      <w:pPr>
        <w:jc w:val="both"/>
        <w:rPr>
          <w:rFonts w:ascii="Times New Roman" w:hAnsi="Times New Roman"/>
          <w:sz w:val="28"/>
          <w:szCs w:val="28"/>
          <w:lang w:val="en-US"/>
        </w:rPr>
      </w:pPr>
      <w:r w:rsidRPr="00CB20A6">
        <w:rPr>
          <w:rFonts w:ascii="Times New Roman" w:hAnsi="Times New Roman"/>
          <w:sz w:val="28"/>
          <w:szCs w:val="28"/>
          <w:lang w:val="en-US"/>
        </w:rPr>
        <w:lastRenderedPageBreak/>
        <w:t>Optimization of the complete denture fabrication workflow is essential for improving OHRQoL in edentulous patients. The standardization of clinical and laboratory procedures facilitates better prosthesis adaptation, which is the cornerstone of functional success. Incorporating these optimized protocols into routine practice is recommended to enhance the quality, predictability, and long-term satisfaction of complete denture therapy.</w:t>
      </w:r>
    </w:p>
    <w:p w14:paraId="4A38E6F0" w14:textId="77777777" w:rsidR="00CB20A6" w:rsidRPr="00CB20A6" w:rsidRDefault="00CB20A6" w:rsidP="00CB20A6">
      <w:pPr>
        <w:jc w:val="both"/>
        <w:rPr>
          <w:rFonts w:ascii="Times New Roman" w:hAnsi="Times New Roman"/>
          <w:b/>
          <w:bCs/>
          <w:sz w:val="28"/>
          <w:szCs w:val="28"/>
        </w:rPr>
      </w:pPr>
      <w:proofErr w:type="spellStart"/>
      <w:r w:rsidRPr="00CB20A6">
        <w:rPr>
          <w:rFonts w:ascii="Times New Roman" w:hAnsi="Times New Roman"/>
          <w:b/>
          <w:bCs/>
          <w:sz w:val="28"/>
          <w:szCs w:val="28"/>
        </w:rPr>
        <w:t>References</w:t>
      </w:r>
      <w:proofErr w:type="spellEnd"/>
    </w:p>
    <w:p w14:paraId="0400578A" w14:textId="77777777" w:rsidR="00CB20A6" w:rsidRPr="00CB20A6" w:rsidRDefault="00CB20A6" w:rsidP="00CB20A6">
      <w:pPr>
        <w:numPr>
          <w:ilvl w:val="0"/>
          <w:numId w:val="3"/>
        </w:numPr>
        <w:jc w:val="both"/>
        <w:rPr>
          <w:rFonts w:ascii="Times New Roman" w:hAnsi="Times New Roman"/>
          <w:sz w:val="28"/>
          <w:szCs w:val="28"/>
        </w:rPr>
      </w:pPr>
      <w:r w:rsidRPr="00CB20A6">
        <w:rPr>
          <w:rFonts w:ascii="Times New Roman" w:hAnsi="Times New Roman"/>
          <w:sz w:val="28"/>
          <w:szCs w:val="28"/>
          <w:lang w:val="en-US"/>
        </w:rPr>
        <w:t xml:space="preserve">Bayramov YI. Functional measurement in orthopedic treatment with full denture. </w:t>
      </w:r>
      <w:proofErr w:type="spellStart"/>
      <w:r w:rsidRPr="00CB20A6">
        <w:rPr>
          <w:rFonts w:ascii="Times New Roman" w:hAnsi="Times New Roman"/>
          <w:sz w:val="28"/>
          <w:szCs w:val="28"/>
        </w:rPr>
        <w:t>Theoretical</w:t>
      </w:r>
      <w:proofErr w:type="spellEnd"/>
      <w:r w:rsidRPr="00CB20A6">
        <w:rPr>
          <w:rFonts w:ascii="Times New Roman" w:hAnsi="Times New Roman"/>
          <w:sz w:val="28"/>
          <w:szCs w:val="28"/>
        </w:rPr>
        <w:t xml:space="preserve"> &amp; </w:t>
      </w:r>
      <w:proofErr w:type="spellStart"/>
      <w:r w:rsidRPr="00CB20A6">
        <w:rPr>
          <w:rFonts w:ascii="Times New Roman" w:hAnsi="Times New Roman"/>
          <w:sz w:val="28"/>
          <w:szCs w:val="28"/>
        </w:rPr>
        <w:t>Applied</w:t>
      </w:r>
      <w:proofErr w:type="spellEnd"/>
      <w:r w:rsidRPr="00CB20A6">
        <w:rPr>
          <w:rFonts w:ascii="Times New Roman" w:hAnsi="Times New Roman"/>
          <w:sz w:val="28"/>
          <w:szCs w:val="28"/>
        </w:rPr>
        <w:t xml:space="preserve"> </w:t>
      </w:r>
      <w:proofErr w:type="spellStart"/>
      <w:r w:rsidRPr="00CB20A6">
        <w:rPr>
          <w:rFonts w:ascii="Times New Roman" w:hAnsi="Times New Roman"/>
          <w:sz w:val="28"/>
          <w:szCs w:val="28"/>
        </w:rPr>
        <w:t>Science</w:t>
      </w:r>
      <w:proofErr w:type="spellEnd"/>
      <w:r w:rsidRPr="00CB20A6">
        <w:rPr>
          <w:rFonts w:ascii="Times New Roman" w:hAnsi="Times New Roman"/>
          <w:sz w:val="28"/>
          <w:szCs w:val="28"/>
        </w:rPr>
        <w:t>. 2019;78(10):380–383.</w:t>
      </w:r>
    </w:p>
    <w:p w14:paraId="1C2AEE26" w14:textId="77777777" w:rsidR="00CB20A6" w:rsidRPr="00CB20A6" w:rsidRDefault="00CB20A6" w:rsidP="00CB20A6">
      <w:pPr>
        <w:numPr>
          <w:ilvl w:val="0"/>
          <w:numId w:val="3"/>
        </w:numPr>
        <w:jc w:val="both"/>
        <w:rPr>
          <w:rFonts w:ascii="Times New Roman" w:hAnsi="Times New Roman"/>
          <w:sz w:val="28"/>
          <w:szCs w:val="28"/>
        </w:rPr>
      </w:pPr>
      <w:r w:rsidRPr="00CB20A6">
        <w:rPr>
          <w:rFonts w:ascii="Times New Roman" w:hAnsi="Times New Roman"/>
          <w:sz w:val="28"/>
          <w:szCs w:val="28"/>
          <w:lang w:val="en-US"/>
        </w:rPr>
        <w:t xml:space="preserve">Bayramov YI. The problem of using adhesives in the fixation of complete dentures. </w:t>
      </w:r>
      <w:proofErr w:type="spellStart"/>
      <w:r w:rsidRPr="00CB20A6">
        <w:rPr>
          <w:rFonts w:ascii="Times New Roman" w:hAnsi="Times New Roman"/>
          <w:sz w:val="28"/>
          <w:szCs w:val="28"/>
        </w:rPr>
        <w:t>World</w:t>
      </w:r>
      <w:proofErr w:type="spellEnd"/>
      <w:r w:rsidRPr="00CB20A6">
        <w:rPr>
          <w:rFonts w:ascii="Times New Roman" w:hAnsi="Times New Roman"/>
          <w:sz w:val="28"/>
          <w:szCs w:val="28"/>
        </w:rPr>
        <w:t xml:space="preserve"> </w:t>
      </w:r>
      <w:proofErr w:type="spellStart"/>
      <w:r w:rsidRPr="00CB20A6">
        <w:rPr>
          <w:rFonts w:ascii="Times New Roman" w:hAnsi="Times New Roman"/>
          <w:sz w:val="28"/>
          <w:szCs w:val="28"/>
        </w:rPr>
        <w:t>of</w:t>
      </w:r>
      <w:proofErr w:type="spellEnd"/>
      <w:r w:rsidRPr="00CB20A6">
        <w:rPr>
          <w:rFonts w:ascii="Times New Roman" w:hAnsi="Times New Roman"/>
          <w:sz w:val="28"/>
          <w:szCs w:val="28"/>
        </w:rPr>
        <w:t xml:space="preserve"> </w:t>
      </w:r>
      <w:proofErr w:type="spellStart"/>
      <w:r w:rsidRPr="00CB20A6">
        <w:rPr>
          <w:rFonts w:ascii="Times New Roman" w:hAnsi="Times New Roman"/>
          <w:sz w:val="28"/>
          <w:szCs w:val="28"/>
        </w:rPr>
        <w:t>Medicine</w:t>
      </w:r>
      <w:proofErr w:type="spellEnd"/>
      <w:r w:rsidRPr="00CB20A6">
        <w:rPr>
          <w:rFonts w:ascii="Times New Roman" w:hAnsi="Times New Roman"/>
          <w:sz w:val="28"/>
          <w:szCs w:val="28"/>
        </w:rPr>
        <w:t xml:space="preserve"> </w:t>
      </w:r>
      <w:proofErr w:type="spellStart"/>
      <w:r w:rsidRPr="00CB20A6">
        <w:rPr>
          <w:rFonts w:ascii="Times New Roman" w:hAnsi="Times New Roman"/>
          <w:sz w:val="28"/>
          <w:szCs w:val="28"/>
        </w:rPr>
        <w:t>and</w:t>
      </w:r>
      <w:proofErr w:type="spellEnd"/>
      <w:r w:rsidRPr="00CB20A6">
        <w:rPr>
          <w:rFonts w:ascii="Times New Roman" w:hAnsi="Times New Roman"/>
          <w:sz w:val="28"/>
          <w:szCs w:val="28"/>
        </w:rPr>
        <w:t xml:space="preserve"> </w:t>
      </w:r>
      <w:proofErr w:type="spellStart"/>
      <w:r w:rsidRPr="00CB20A6">
        <w:rPr>
          <w:rFonts w:ascii="Times New Roman" w:hAnsi="Times New Roman"/>
          <w:sz w:val="28"/>
          <w:szCs w:val="28"/>
        </w:rPr>
        <w:t>Biology</w:t>
      </w:r>
      <w:proofErr w:type="spellEnd"/>
      <w:r w:rsidRPr="00CB20A6">
        <w:rPr>
          <w:rFonts w:ascii="Times New Roman" w:hAnsi="Times New Roman"/>
          <w:sz w:val="28"/>
          <w:szCs w:val="28"/>
        </w:rPr>
        <w:t>. 2024;89(3):18–22.</w:t>
      </w:r>
    </w:p>
    <w:p w14:paraId="35FEF74E" w14:textId="77777777" w:rsidR="00CB20A6" w:rsidRPr="00CB20A6" w:rsidRDefault="00CB20A6" w:rsidP="00CB20A6">
      <w:pPr>
        <w:numPr>
          <w:ilvl w:val="0"/>
          <w:numId w:val="3"/>
        </w:numPr>
        <w:jc w:val="both"/>
        <w:rPr>
          <w:rFonts w:ascii="Times New Roman" w:hAnsi="Times New Roman"/>
          <w:sz w:val="28"/>
          <w:szCs w:val="28"/>
        </w:rPr>
      </w:pPr>
      <w:r w:rsidRPr="00CB20A6">
        <w:rPr>
          <w:rFonts w:ascii="Times New Roman" w:hAnsi="Times New Roman"/>
          <w:sz w:val="28"/>
          <w:szCs w:val="28"/>
          <w:lang w:val="en-US"/>
        </w:rPr>
        <w:t xml:space="preserve">Bayramov YI. Effectiveness of Complete Removable Plate Prosthesis Preparation Metods in the Ortopaedic Treatment of Secondary Complete Adentia. </w:t>
      </w:r>
      <w:proofErr w:type="spellStart"/>
      <w:r w:rsidRPr="00CB20A6">
        <w:rPr>
          <w:rFonts w:ascii="Times New Roman" w:hAnsi="Times New Roman"/>
          <w:sz w:val="28"/>
          <w:szCs w:val="28"/>
        </w:rPr>
        <w:t>Journal</w:t>
      </w:r>
      <w:proofErr w:type="spellEnd"/>
      <w:r w:rsidRPr="00CB20A6">
        <w:rPr>
          <w:rFonts w:ascii="Times New Roman" w:hAnsi="Times New Roman"/>
          <w:sz w:val="28"/>
          <w:szCs w:val="28"/>
        </w:rPr>
        <w:t xml:space="preserve"> </w:t>
      </w:r>
      <w:proofErr w:type="spellStart"/>
      <w:r w:rsidRPr="00CB20A6">
        <w:rPr>
          <w:rFonts w:ascii="Times New Roman" w:hAnsi="Times New Roman"/>
          <w:sz w:val="28"/>
          <w:szCs w:val="28"/>
        </w:rPr>
        <w:t>of</w:t>
      </w:r>
      <w:proofErr w:type="spellEnd"/>
      <w:r w:rsidRPr="00CB20A6">
        <w:rPr>
          <w:rFonts w:ascii="Times New Roman" w:hAnsi="Times New Roman"/>
          <w:sz w:val="28"/>
          <w:szCs w:val="28"/>
        </w:rPr>
        <w:t xml:space="preserve"> </w:t>
      </w:r>
      <w:proofErr w:type="spellStart"/>
      <w:r w:rsidRPr="00CB20A6">
        <w:rPr>
          <w:rFonts w:ascii="Times New Roman" w:hAnsi="Times New Roman"/>
          <w:sz w:val="28"/>
          <w:szCs w:val="28"/>
        </w:rPr>
        <w:t>Chemical</w:t>
      </w:r>
      <w:proofErr w:type="spellEnd"/>
      <w:r w:rsidRPr="00CB20A6">
        <w:rPr>
          <w:rFonts w:ascii="Times New Roman" w:hAnsi="Times New Roman"/>
          <w:sz w:val="28"/>
          <w:szCs w:val="28"/>
        </w:rPr>
        <w:t xml:space="preserve"> </w:t>
      </w:r>
      <w:proofErr w:type="spellStart"/>
      <w:r w:rsidRPr="00CB20A6">
        <w:rPr>
          <w:rFonts w:ascii="Times New Roman" w:hAnsi="Times New Roman"/>
          <w:sz w:val="28"/>
          <w:szCs w:val="28"/>
        </w:rPr>
        <w:t>Health</w:t>
      </w:r>
      <w:proofErr w:type="spellEnd"/>
      <w:r w:rsidRPr="00CB20A6">
        <w:rPr>
          <w:rFonts w:ascii="Times New Roman" w:hAnsi="Times New Roman"/>
          <w:sz w:val="28"/>
          <w:szCs w:val="28"/>
        </w:rPr>
        <w:t xml:space="preserve"> </w:t>
      </w:r>
      <w:proofErr w:type="spellStart"/>
      <w:r w:rsidRPr="00CB20A6">
        <w:rPr>
          <w:rFonts w:ascii="Times New Roman" w:hAnsi="Times New Roman"/>
          <w:sz w:val="28"/>
          <w:szCs w:val="28"/>
        </w:rPr>
        <w:t>Risks</w:t>
      </w:r>
      <w:proofErr w:type="spellEnd"/>
      <w:r w:rsidRPr="00CB20A6">
        <w:rPr>
          <w:rFonts w:ascii="Times New Roman" w:hAnsi="Times New Roman"/>
          <w:sz w:val="28"/>
          <w:szCs w:val="28"/>
        </w:rPr>
        <w:t>. 2023. Vol.13 No.5.-p 101-111.</w:t>
      </w:r>
    </w:p>
    <w:p w14:paraId="11623A77" w14:textId="77777777" w:rsidR="00CB20A6" w:rsidRPr="00CB20A6" w:rsidRDefault="00CB20A6" w:rsidP="00CB20A6">
      <w:pPr>
        <w:numPr>
          <w:ilvl w:val="0"/>
          <w:numId w:val="3"/>
        </w:numPr>
        <w:jc w:val="both"/>
        <w:rPr>
          <w:rFonts w:ascii="Times New Roman" w:hAnsi="Times New Roman"/>
          <w:sz w:val="28"/>
          <w:szCs w:val="28"/>
        </w:rPr>
      </w:pPr>
      <w:r w:rsidRPr="00CB20A6">
        <w:rPr>
          <w:rFonts w:ascii="Times New Roman" w:hAnsi="Times New Roman"/>
          <w:sz w:val="28"/>
          <w:szCs w:val="28"/>
          <w:lang w:val="en-US"/>
        </w:rPr>
        <w:t xml:space="preserve">Bayramov YI. Analysis of the accuracy of determining the centric relation of jaws in secondary complete adentia. </w:t>
      </w:r>
      <w:proofErr w:type="spellStart"/>
      <w:r w:rsidRPr="00CB20A6">
        <w:rPr>
          <w:rFonts w:ascii="Times New Roman" w:hAnsi="Times New Roman"/>
          <w:sz w:val="28"/>
          <w:szCs w:val="28"/>
        </w:rPr>
        <w:t>World</w:t>
      </w:r>
      <w:proofErr w:type="spellEnd"/>
      <w:r w:rsidRPr="00CB20A6">
        <w:rPr>
          <w:rFonts w:ascii="Times New Roman" w:hAnsi="Times New Roman"/>
          <w:sz w:val="28"/>
          <w:szCs w:val="28"/>
        </w:rPr>
        <w:t xml:space="preserve"> </w:t>
      </w:r>
      <w:proofErr w:type="spellStart"/>
      <w:r w:rsidRPr="00CB20A6">
        <w:rPr>
          <w:rFonts w:ascii="Times New Roman" w:hAnsi="Times New Roman"/>
          <w:sz w:val="28"/>
          <w:szCs w:val="28"/>
        </w:rPr>
        <w:t>of</w:t>
      </w:r>
      <w:proofErr w:type="spellEnd"/>
      <w:r w:rsidRPr="00CB20A6">
        <w:rPr>
          <w:rFonts w:ascii="Times New Roman" w:hAnsi="Times New Roman"/>
          <w:sz w:val="28"/>
          <w:szCs w:val="28"/>
        </w:rPr>
        <w:t xml:space="preserve"> </w:t>
      </w:r>
      <w:proofErr w:type="spellStart"/>
      <w:r w:rsidRPr="00CB20A6">
        <w:rPr>
          <w:rFonts w:ascii="Times New Roman" w:hAnsi="Times New Roman"/>
          <w:sz w:val="28"/>
          <w:szCs w:val="28"/>
        </w:rPr>
        <w:t>Medicine</w:t>
      </w:r>
      <w:proofErr w:type="spellEnd"/>
      <w:r w:rsidRPr="00CB20A6">
        <w:rPr>
          <w:rFonts w:ascii="Times New Roman" w:hAnsi="Times New Roman"/>
          <w:sz w:val="28"/>
          <w:szCs w:val="28"/>
        </w:rPr>
        <w:t xml:space="preserve"> </w:t>
      </w:r>
      <w:proofErr w:type="spellStart"/>
      <w:r w:rsidRPr="00CB20A6">
        <w:rPr>
          <w:rFonts w:ascii="Times New Roman" w:hAnsi="Times New Roman"/>
          <w:sz w:val="28"/>
          <w:szCs w:val="28"/>
        </w:rPr>
        <w:t>and</w:t>
      </w:r>
      <w:proofErr w:type="spellEnd"/>
      <w:r w:rsidRPr="00CB20A6">
        <w:rPr>
          <w:rFonts w:ascii="Times New Roman" w:hAnsi="Times New Roman"/>
          <w:sz w:val="28"/>
          <w:szCs w:val="28"/>
        </w:rPr>
        <w:t xml:space="preserve"> </w:t>
      </w:r>
      <w:proofErr w:type="spellStart"/>
      <w:r w:rsidRPr="00CB20A6">
        <w:rPr>
          <w:rFonts w:ascii="Times New Roman" w:hAnsi="Times New Roman"/>
          <w:sz w:val="28"/>
          <w:szCs w:val="28"/>
        </w:rPr>
        <w:t>Biology</w:t>
      </w:r>
      <w:proofErr w:type="spellEnd"/>
      <w:r w:rsidRPr="00CB20A6">
        <w:rPr>
          <w:rFonts w:ascii="Times New Roman" w:hAnsi="Times New Roman"/>
          <w:sz w:val="28"/>
          <w:szCs w:val="28"/>
        </w:rPr>
        <w:t>. -</w:t>
      </w:r>
      <w:proofErr w:type="spellStart"/>
      <w:r w:rsidRPr="00CB20A6">
        <w:rPr>
          <w:rFonts w:ascii="Times New Roman" w:hAnsi="Times New Roman"/>
          <w:sz w:val="28"/>
          <w:szCs w:val="28"/>
        </w:rPr>
        <w:t>Ukr</w:t>
      </w:r>
      <w:proofErr w:type="spellEnd"/>
      <w:r w:rsidRPr="00CB20A6">
        <w:rPr>
          <w:rFonts w:ascii="Times New Roman" w:hAnsi="Times New Roman"/>
          <w:sz w:val="28"/>
          <w:szCs w:val="28"/>
        </w:rPr>
        <w:t>. 2024. Vol.90. No.4.-p. 20-24.</w:t>
      </w:r>
    </w:p>
    <w:p w14:paraId="44F8DAE0" w14:textId="77777777" w:rsidR="00F16658" w:rsidRPr="00CB20A6" w:rsidRDefault="00F16658" w:rsidP="00CB20A6">
      <w:pPr>
        <w:jc w:val="both"/>
        <w:rPr>
          <w:rFonts w:ascii="Times New Roman" w:hAnsi="Times New Roman"/>
          <w:sz w:val="28"/>
          <w:szCs w:val="28"/>
        </w:rPr>
      </w:pPr>
      <w:bookmarkStart w:id="0" w:name="_GoBack"/>
      <w:bookmarkEnd w:id="0"/>
    </w:p>
    <w:sectPr w:rsidR="00F16658" w:rsidRPr="00CB20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7E372C"/>
    <w:multiLevelType w:val="multilevel"/>
    <w:tmpl w:val="B9766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406E39"/>
    <w:multiLevelType w:val="multilevel"/>
    <w:tmpl w:val="89E0B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0A59FE"/>
    <w:multiLevelType w:val="multilevel"/>
    <w:tmpl w:val="4C889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658"/>
    <w:rsid w:val="004C0375"/>
    <w:rsid w:val="00CB20A6"/>
    <w:rsid w:val="00F166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D1E0D0-8399-44A4-BE43-FA7C78E13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3849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867</Words>
  <Characters>4944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dc:creator>
  <cp:keywords/>
  <dc:description/>
  <cp:lastModifiedBy>master</cp:lastModifiedBy>
  <cp:revision>3</cp:revision>
  <dcterms:created xsi:type="dcterms:W3CDTF">2026-07-13T16:02:00Z</dcterms:created>
  <dcterms:modified xsi:type="dcterms:W3CDTF">2026-07-13T16:06:00Z</dcterms:modified>
</cp:coreProperties>
</file>