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E0E1E" w14:textId="77777777" w:rsidR="00321263" w:rsidRDefault="00321263" w:rsidP="00321263">
      <w:pPr>
        <w:bidi w:val="0"/>
        <w:jc w:val="center"/>
        <w:rPr>
          <w:rFonts w:asciiTheme="majorBidi" w:hAnsiTheme="majorBidi" w:cstheme="majorBidi"/>
          <w:b/>
          <w:bCs/>
          <w:sz w:val="24"/>
          <w:szCs w:val="24"/>
        </w:rPr>
      </w:pPr>
      <w:r w:rsidRPr="00321263">
        <w:rPr>
          <w:rFonts w:asciiTheme="majorBidi" w:hAnsiTheme="majorBidi" w:cstheme="majorBidi"/>
          <w:b/>
          <w:bCs/>
          <w:sz w:val="24"/>
          <w:szCs w:val="24"/>
        </w:rPr>
        <w:t>Comparative Analysis of Microbial Load and Diversity in Saliva and Subgingival Plaque Samples</w:t>
      </w:r>
    </w:p>
    <w:p w14:paraId="465103D6" w14:textId="576FE6CE" w:rsidR="00D47F08" w:rsidRPr="00BD020F" w:rsidRDefault="00D47F08" w:rsidP="00D47F08">
      <w:pPr>
        <w:pStyle w:val="NormalWeb"/>
        <w:ind w:firstLine="567"/>
        <w:jc w:val="center"/>
        <w:rPr>
          <w:rFonts w:asciiTheme="majorBidi" w:hAnsiTheme="majorBidi" w:cstheme="majorBidi"/>
          <w:sz w:val="20"/>
          <w:szCs w:val="20"/>
        </w:rPr>
      </w:pPr>
      <w:r w:rsidRPr="00BD020F">
        <w:rPr>
          <w:rFonts w:asciiTheme="majorBidi" w:hAnsiTheme="majorBidi" w:cstheme="majorBidi"/>
          <w:sz w:val="20"/>
          <w:szCs w:val="20"/>
        </w:rPr>
        <w:t xml:space="preserve">Ali Jourk </w:t>
      </w:r>
      <w:r w:rsidR="00FE16B1">
        <w:rPr>
          <w:rFonts w:asciiTheme="majorBidi" w:hAnsiTheme="majorBidi" w:cstheme="majorBidi"/>
          <w:sz w:val="20"/>
          <w:szCs w:val="20"/>
        </w:rPr>
        <w:t>1</w:t>
      </w:r>
      <w:r w:rsidRPr="00BD020F">
        <w:rPr>
          <w:rFonts w:asciiTheme="majorBidi" w:hAnsiTheme="majorBidi" w:cstheme="majorBidi"/>
          <w:sz w:val="20"/>
          <w:szCs w:val="20"/>
        </w:rPr>
        <w:t xml:space="preserve">, Azhar Najjar </w:t>
      </w:r>
      <w:r w:rsidR="00FE16B1">
        <w:rPr>
          <w:rFonts w:asciiTheme="majorBidi" w:hAnsiTheme="majorBidi" w:cstheme="majorBidi"/>
          <w:sz w:val="20"/>
          <w:szCs w:val="20"/>
        </w:rPr>
        <w:t>2</w:t>
      </w:r>
      <w:r w:rsidRPr="00BD020F">
        <w:rPr>
          <w:rFonts w:asciiTheme="majorBidi" w:hAnsiTheme="majorBidi" w:cstheme="majorBidi"/>
          <w:sz w:val="20"/>
          <w:szCs w:val="20"/>
        </w:rPr>
        <w:t>, Aisha Shathan, and Samah Noor</w:t>
      </w:r>
    </w:p>
    <w:p w14:paraId="66964665" w14:textId="6CAA0DA2" w:rsidR="00D47F08" w:rsidRPr="00BD020F" w:rsidRDefault="00D47F08" w:rsidP="00D47F08">
      <w:pPr>
        <w:pStyle w:val="NormalWeb"/>
        <w:ind w:firstLine="567"/>
        <w:jc w:val="center"/>
        <w:rPr>
          <w:rFonts w:asciiTheme="majorBidi" w:hAnsiTheme="majorBidi" w:cstheme="majorBidi"/>
          <w:sz w:val="20"/>
          <w:szCs w:val="20"/>
        </w:rPr>
      </w:pPr>
      <w:r>
        <w:rPr>
          <w:rFonts w:asciiTheme="majorBidi" w:hAnsiTheme="majorBidi" w:cstheme="majorBidi"/>
          <w:sz w:val="20"/>
          <w:szCs w:val="20"/>
        </w:rPr>
        <w:t>1</w:t>
      </w:r>
      <w:r w:rsidRPr="00BD020F">
        <w:rPr>
          <w:rFonts w:asciiTheme="majorBidi" w:hAnsiTheme="majorBidi" w:cstheme="majorBidi"/>
          <w:sz w:val="20"/>
          <w:szCs w:val="20"/>
        </w:rPr>
        <w:t xml:space="preserve"> </w:t>
      </w:r>
      <w:proofErr w:type="spellStart"/>
      <w:r w:rsidRPr="00BD020F">
        <w:rPr>
          <w:rFonts w:asciiTheme="majorBidi" w:hAnsiTheme="majorBidi" w:cstheme="majorBidi"/>
          <w:sz w:val="20"/>
          <w:szCs w:val="20"/>
        </w:rPr>
        <w:t>MyHealth</w:t>
      </w:r>
      <w:proofErr w:type="spellEnd"/>
      <w:r w:rsidRPr="00BD020F">
        <w:rPr>
          <w:rFonts w:asciiTheme="majorBidi" w:hAnsiTheme="majorBidi" w:cstheme="majorBidi"/>
          <w:sz w:val="20"/>
          <w:szCs w:val="20"/>
        </w:rPr>
        <w:t xml:space="preserve"> Medical Polyclinic, Jeddah 21431, Saudi Arabia</w:t>
      </w:r>
    </w:p>
    <w:p w14:paraId="53ACF8F0" w14:textId="1012ECE8" w:rsidR="00D47F08" w:rsidRPr="00440D0D" w:rsidRDefault="00D47F08" w:rsidP="00D47F08">
      <w:pPr>
        <w:pStyle w:val="NormalWeb"/>
        <w:ind w:firstLine="567"/>
        <w:jc w:val="center"/>
        <w:rPr>
          <w:rFonts w:asciiTheme="majorBidi" w:hAnsiTheme="majorBidi" w:cstheme="majorBidi"/>
          <w:sz w:val="20"/>
          <w:szCs w:val="20"/>
        </w:rPr>
      </w:pPr>
      <w:r>
        <w:rPr>
          <w:rFonts w:asciiTheme="majorBidi" w:hAnsiTheme="majorBidi" w:cstheme="majorBidi"/>
          <w:sz w:val="20"/>
          <w:szCs w:val="20"/>
        </w:rPr>
        <w:t>2</w:t>
      </w:r>
      <w:r w:rsidRPr="00BD020F">
        <w:rPr>
          <w:rFonts w:asciiTheme="majorBidi" w:hAnsiTheme="majorBidi" w:cstheme="majorBidi"/>
          <w:sz w:val="20"/>
          <w:szCs w:val="20"/>
        </w:rPr>
        <w:t xml:space="preserve">Department of Biological Sciences, Faculty of Science, King Abdulaziz University, Jeddah </w:t>
      </w:r>
      <w:r w:rsidRPr="00440D0D">
        <w:rPr>
          <w:rFonts w:asciiTheme="majorBidi" w:hAnsiTheme="majorBidi" w:cstheme="majorBidi"/>
          <w:sz w:val="20"/>
          <w:szCs w:val="20"/>
        </w:rPr>
        <w:t>21488, Saudi Arabia</w:t>
      </w:r>
    </w:p>
    <w:p w14:paraId="0496AC68" w14:textId="3F58EDC7" w:rsidR="00D47F08" w:rsidRPr="00440D0D" w:rsidRDefault="00F733A4" w:rsidP="00F733A4">
      <w:pPr>
        <w:bidi w:val="0"/>
        <w:rPr>
          <w:rFonts w:asciiTheme="majorBidi" w:hAnsiTheme="majorBidi" w:cstheme="majorBidi"/>
          <w:b/>
          <w:bCs/>
          <w:sz w:val="24"/>
          <w:szCs w:val="24"/>
        </w:rPr>
      </w:pPr>
      <w:r w:rsidRPr="00440D0D">
        <w:rPr>
          <w:rFonts w:asciiTheme="majorBidi" w:hAnsiTheme="majorBidi" w:cstheme="majorBidi"/>
          <w:b/>
          <w:bCs/>
          <w:sz w:val="24"/>
          <w:szCs w:val="24"/>
        </w:rPr>
        <w:t>Abstract</w:t>
      </w:r>
    </w:p>
    <w:p w14:paraId="46905EA1" w14:textId="77777777" w:rsidR="00321263" w:rsidRPr="00321263" w:rsidRDefault="00321263" w:rsidP="00321263">
      <w:pPr>
        <w:bidi w:val="0"/>
        <w:jc w:val="both"/>
        <w:rPr>
          <w:rFonts w:asciiTheme="majorBidi" w:hAnsiTheme="majorBidi" w:cstheme="majorBidi"/>
          <w:sz w:val="24"/>
          <w:szCs w:val="24"/>
        </w:rPr>
      </w:pPr>
      <w:r w:rsidRPr="00321263">
        <w:rPr>
          <w:rFonts w:asciiTheme="majorBidi" w:hAnsiTheme="majorBidi" w:cstheme="majorBidi"/>
          <w:sz w:val="24"/>
          <w:szCs w:val="24"/>
        </w:rPr>
        <w:t>Oral microbial communities play a critical role in maintaining oral health and contributing to disease development. The problem addressed in this study is the limited understanding of differences in microbial load and diversity between saliva and subgingival plaque, particularly in individuals with mild periodontal conditions. The purpose of this study was to compare the presence, quantity, and diversity of cultivable microorganisms in saliva and subgingival plaque samples obtained from adult participants.</w:t>
      </w:r>
    </w:p>
    <w:p w14:paraId="2B8B1623" w14:textId="77777777" w:rsidR="00321263" w:rsidRPr="00321263" w:rsidRDefault="00321263" w:rsidP="00321263">
      <w:pPr>
        <w:bidi w:val="0"/>
        <w:jc w:val="both"/>
        <w:rPr>
          <w:rFonts w:asciiTheme="majorBidi" w:hAnsiTheme="majorBidi" w:cstheme="majorBidi"/>
          <w:sz w:val="24"/>
          <w:szCs w:val="24"/>
        </w:rPr>
      </w:pPr>
      <w:r w:rsidRPr="00321263">
        <w:rPr>
          <w:rFonts w:asciiTheme="majorBidi" w:hAnsiTheme="majorBidi" w:cstheme="majorBidi"/>
          <w:b/>
          <w:bCs/>
          <w:sz w:val="24"/>
          <w:szCs w:val="24"/>
        </w:rPr>
        <w:t>Methodology and theoretical orientation:</w:t>
      </w:r>
      <w:r w:rsidRPr="00321263">
        <w:rPr>
          <w:rFonts w:asciiTheme="majorBidi" w:hAnsiTheme="majorBidi" w:cstheme="majorBidi"/>
          <w:sz w:val="24"/>
          <w:szCs w:val="24"/>
        </w:rPr>
        <w:t xml:space="preserve"> This cross-sectional laboratory-based study included 50 female participants aged 18–50 years. Clinical periodontal parameters, including probing pocket depth, clinical attachment loss, bleeding on probing, and plaque index, were assessed. Participants were categorized as clinically healthy, having dental caries, or mild gingivitis. Samples from saliva, gingival sites, and tongue were collected aseptically using sterile swabs and processed within two hours. Microbial cultures were performed, and colony-forming units (CFU/mL) were quantified. Statistical analysis was conducted to compare microbial presence and counts between sample types.</w:t>
      </w:r>
    </w:p>
    <w:p w14:paraId="11DD19C7" w14:textId="77777777" w:rsidR="00321263" w:rsidRPr="00321263" w:rsidRDefault="00321263" w:rsidP="00321263">
      <w:pPr>
        <w:bidi w:val="0"/>
        <w:jc w:val="both"/>
        <w:rPr>
          <w:rFonts w:asciiTheme="majorBidi" w:hAnsiTheme="majorBidi" w:cstheme="majorBidi"/>
          <w:sz w:val="24"/>
          <w:szCs w:val="24"/>
        </w:rPr>
      </w:pPr>
      <w:r w:rsidRPr="00321263">
        <w:rPr>
          <w:rFonts w:asciiTheme="majorBidi" w:hAnsiTheme="majorBidi" w:cstheme="majorBidi"/>
          <w:b/>
          <w:bCs/>
          <w:sz w:val="24"/>
          <w:szCs w:val="24"/>
        </w:rPr>
        <w:t>Findings:</w:t>
      </w:r>
      <w:r w:rsidRPr="00321263">
        <w:rPr>
          <w:rFonts w:asciiTheme="majorBidi" w:hAnsiTheme="majorBidi" w:cstheme="majorBidi"/>
          <w:sz w:val="24"/>
          <w:szCs w:val="24"/>
        </w:rPr>
        <w:t xml:space="preserve"> Microbial growth was detected in both saliva (38%) and subgingival plaque (42%), with no significant difference in presence rates (P &gt; 0.05). However, subgingival plaque demonstrated significantly higher microbial load (1.16 × 10⁵ ± 8.89 × 10⁴ CFU/mL) compared to saliva (9.19 × 10⁴ ± 7.01 × 10⁴ CFU/mL; P = 0.014). In contrast, saliva exhibited significantly greater microbial diversity, as indicated by a higher number of isolates per sample (P &lt; 0.001).</w:t>
      </w:r>
    </w:p>
    <w:p w14:paraId="6A32B1B2" w14:textId="77777777" w:rsidR="00321263" w:rsidRDefault="00321263" w:rsidP="00321263">
      <w:pPr>
        <w:bidi w:val="0"/>
        <w:jc w:val="both"/>
        <w:rPr>
          <w:rFonts w:asciiTheme="majorBidi" w:hAnsiTheme="majorBidi" w:cstheme="majorBidi"/>
          <w:sz w:val="24"/>
          <w:szCs w:val="24"/>
        </w:rPr>
      </w:pPr>
      <w:r w:rsidRPr="00321263">
        <w:rPr>
          <w:rFonts w:asciiTheme="majorBidi" w:hAnsiTheme="majorBidi" w:cstheme="majorBidi"/>
          <w:b/>
          <w:bCs/>
          <w:sz w:val="24"/>
          <w:szCs w:val="24"/>
        </w:rPr>
        <w:t>Conclusion and significance:</w:t>
      </w:r>
      <w:r w:rsidRPr="00321263">
        <w:rPr>
          <w:rFonts w:asciiTheme="majorBidi" w:hAnsiTheme="majorBidi" w:cstheme="majorBidi"/>
          <w:sz w:val="24"/>
          <w:szCs w:val="24"/>
        </w:rPr>
        <w:t xml:space="preserve"> The findings indicate that subgingival plaque represents a dense and specialized microbial niche, while saliva reflects a more diverse but less concentrated microbial environment. These differences highlight the importance of sample selection in oral microbiological studies and contribute to a better understanding of microbial ecology in the oral cavity.</w:t>
      </w:r>
    </w:p>
    <w:p w14:paraId="5B772B4C" w14:textId="77777777" w:rsidR="005B05AF" w:rsidRPr="0065302C" w:rsidRDefault="005B05AF" w:rsidP="005B05AF">
      <w:pPr>
        <w:bidi w:val="0"/>
        <w:jc w:val="both"/>
        <w:rPr>
          <w:rFonts w:asciiTheme="majorBidi" w:hAnsiTheme="majorBidi" w:cstheme="majorBidi"/>
          <w:b/>
          <w:bCs/>
          <w:sz w:val="20"/>
          <w:szCs w:val="20"/>
        </w:rPr>
      </w:pPr>
      <w:r w:rsidRPr="0065302C">
        <w:rPr>
          <w:rFonts w:asciiTheme="majorBidi" w:hAnsiTheme="majorBidi" w:cstheme="majorBidi"/>
          <w:b/>
          <w:bCs/>
          <w:sz w:val="20"/>
          <w:szCs w:val="20"/>
        </w:rPr>
        <w:t>Biography</w:t>
      </w:r>
    </w:p>
    <w:p w14:paraId="17805DA4" w14:textId="77777777" w:rsidR="005A4803" w:rsidRPr="005A4803" w:rsidRDefault="005A4803" w:rsidP="005A4803">
      <w:pPr>
        <w:bidi w:val="0"/>
        <w:jc w:val="both"/>
        <w:rPr>
          <w:rFonts w:asciiTheme="majorBidi" w:eastAsia="Times New Roman" w:hAnsiTheme="majorBidi" w:cstheme="majorBidi"/>
          <w:sz w:val="20"/>
          <w:szCs w:val="20"/>
        </w:rPr>
      </w:pPr>
      <w:r w:rsidRPr="005A4803">
        <w:rPr>
          <w:rFonts w:asciiTheme="majorBidi" w:eastAsia="Times New Roman" w:hAnsiTheme="majorBidi" w:cstheme="majorBidi"/>
          <w:sz w:val="20"/>
          <w:szCs w:val="20"/>
        </w:rPr>
        <w:t>Ali Jourk earned his Bachelor of Dental Surgery from the University of Aleppo in 2000. He later obtained a Diploma in Advanced Endodontics from the University of Genoa in 2017, followed by a Diploma in Advanced Dental Esthetics and Operative Dentistry from the American Institute of Healthcare Sciences in 2022. Dr. Jourk is also a GPS 3D Smile Mentor in Saudi Arabia. Throughout his career, he has completed professional training in multiple dental clinics and centers, gaining broad clinical expertise in restorative dentistry, esthetics, endodontics, and advanced smile design techniques.</w:t>
      </w:r>
    </w:p>
    <w:p w14:paraId="339BA864" w14:textId="6DE579D9" w:rsidR="005B05AF" w:rsidRPr="00631906" w:rsidRDefault="005B05AF" w:rsidP="005A4803">
      <w:pPr>
        <w:bidi w:val="0"/>
        <w:jc w:val="both"/>
        <w:rPr>
          <w:rFonts w:asciiTheme="majorBidi" w:hAnsiTheme="majorBidi" w:cstheme="majorBidi"/>
          <w:b/>
          <w:bCs/>
          <w:sz w:val="20"/>
          <w:szCs w:val="20"/>
        </w:rPr>
      </w:pPr>
      <w:r w:rsidRPr="00631906">
        <w:rPr>
          <w:rFonts w:asciiTheme="majorBidi" w:hAnsiTheme="majorBidi" w:cstheme="majorBidi"/>
          <w:b/>
          <w:bCs/>
          <w:sz w:val="20"/>
          <w:szCs w:val="20"/>
        </w:rPr>
        <w:lastRenderedPageBreak/>
        <w:t>About Research Topic</w:t>
      </w:r>
    </w:p>
    <w:p w14:paraId="497C675A" w14:textId="04FFD0FB" w:rsidR="005B05AF" w:rsidRDefault="00AA4C19" w:rsidP="00AA4C19">
      <w:pPr>
        <w:bidi w:val="0"/>
        <w:jc w:val="both"/>
        <w:rPr>
          <w:rFonts w:asciiTheme="majorBidi" w:hAnsiTheme="majorBidi" w:cstheme="majorBidi"/>
          <w:sz w:val="24"/>
          <w:szCs w:val="24"/>
        </w:rPr>
      </w:pPr>
      <w:r w:rsidRPr="00AA4C19">
        <w:rPr>
          <w:rFonts w:asciiTheme="majorBidi" w:hAnsiTheme="majorBidi" w:cstheme="majorBidi"/>
          <w:sz w:val="24"/>
          <w:szCs w:val="24"/>
        </w:rPr>
        <w:t>Oral microbial communities play a key role in dental health, with saliva and subgingival plaque representing distinct ecological niches. Subgingival plaque is a dense biofilm with high microbial load, while saliva reflects microorganisms from multiple oral sites and shows greater diversity. Accurate assessment of these differences is important for understanding early periodontal changes. Culture-based methods enable quantification and isolation of viable microorganisms, but results may vary by sampling site. Comparing saliva and plaque provides insight into microbial distribution and supports appropriate sample selection, improving the diagnosis and management of oral and periodontal conditions.</w:t>
      </w:r>
    </w:p>
    <w:p w14:paraId="459B2BFF" w14:textId="77777777" w:rsidR="00440D0D" w:rsidRDefault="00440D0D" w:rsidP="00440D0D">
      <w:pPr>
        <w:bidi w:val="0"/>
        <w:jc w:val="both"/>
        <w:rPr>
          <w:rFonts w:asciiTheme="majorBidi" w:hAnsiTheme="majorBidi" w:cstheme="majorBidi"/>
          <w:sz w:val="24"/>
          <w:szCs w:val="24"/>
        </w:rPr>
      </w:pPr>
    </w:p>
    <w:p w14:paraId="5B0F80B3" w14:textId="77777777" w:rsidR="00440D0D" w:rsidRPr="009B2290" w:rsidRDefault="00440D0D" w:rsidP="00440D0D">
      <w:pPr>
        <w:pStyle w:val="NoSpacing"/>
        <w:rPr>
          <w:rFonts w:asciiTheme="majorBidi" w:hAnsiTheme="majorBidi" w:cstheme="majorBidi"/>
          <w:b/>
          <w:bCs/>
          <w:sz w:val="20"/>
          <w:szCs w:val="20"/>
        </w:rPr>
      </w:pPr>
      <w:r w:rsidRPr="009B2290">
        <w:rPr>
          <w:rFonts w:asciiTheme="majorBidi" w:hAnsiTheme="majorBidi" w:cstheme="majorBidi"/>
          <w:b/>
          <w:bCs/>
          <w:sz w:val="20"/>
          <w:szCs w:val="20"/>
        </w:rPr>
        <w:t>About Institution</w:t>
      </w:r>
    </w:p>
    <w:p w14:paraId="74F4C9FA" w14:textId="77777777" w:rsidR="005A4803" w:rsidRPr="005A4803" w:rsidRDefault="00440D0D" w:rsidP="005A4803">
      <w:pPr>
        <w:pStyle w:val="NoSpacing"/>
        <w:jc w:val="both"/>
        <w:rPr>
          <w:rFonts w:asciiTheme="majorBidi" w:hAnsiTheme="majorBidi" w:cstheme="majorBidi"/>
          <w:sz w:val="20"/>
          <w:szCs w:val="20"/>
        </w:rPr>
      </w:pPr>
      <w:r w:rsidRPr="00B94AEB">
        <w:br/>
      </w:r>
      <w:r w:rsidR="005A4803" w:rsidRPr="005A4803">
        <w:rPr>
          <w:rFonts w:asciiTheme="majorBidi" w:hAnsiTheme="majorBidi" w:cstheme="majorBidi"/>
          <w:sz w:val="20"/>
          <w:szCs w:val="20"/>
        </w:rPr>
        <w:t>My Health Medical Complex is a specialized healthcare center dedicated to providing comprehensive therapeutic, surgical, preventive, and cosmetic services in the fields of dentistry and oral medicine. The complex is committed to delivering high-quality patient care through an integrated clinical approach that combines advanced diagnostic methods, evidence-based treatment protocols, and modern dental technologies. It relies on a distinguished team of highly qualified and experienced dental specialists across various disciplines, including restorative dentistry, endodontics, oral surgery, prosthodontics, orthodontics, pediatric dentistry, and cosmetic dentistry.</w:t>
      </w:r>
    </w:p>
    <w:p w14:paraId="6DF563F8" w14:textId="77777777" w:rsidR="005A4803" w:rsidRPr="005A4803" w:rsidRDefault="005A4803" w:rsidP="005A4803">
      <w:pPr>
        <w:pStyle w:val="NoSpacing"/>
        <w:jc w:val="both"/>
        <w:rPr>
          <w:rFonts w:asciiTheme="majorBidi" w:hAnsiTheme="majorBidi" w:cstheme="majorBidi"/>
          <w:sz w:val="20"/>
          <w:szCs w:val="20"/>
        </w:rPr>
      </w:pPr>
      <w:r w:rsidRPr="005A4803">
        <w:rPr>
          <w:rFonts w:asciiTheme="majorBidi" w:hAnsiTheme="majorBidi" w:cstheme="majorBidi"/>
          <w:sz w:val="20"/>
          <w:szCs w:val="20"/>
        </w:rPr>
        <w:t>The medical complex is equipped with advanced dental instruments and state-of-the-art technologies designed to enhance diagnostic accuracy, treatment efficiency, patient safety, and overall clinical outcomes. In addition to providing routine and specialized dental treatments, the center emphasizes patient education, preventive oral healthcare, and personalized treatment planning tailored to individual needs. Through its commitment to innovation, professional excellence, and patient-centered care, My Health Medical Complex aims to contribute to improving oral health standards and enhancing the quality of life within the community.</w:t>
      </w:r>
    </w:p>
    <w:p w14:paraId="517F7C22" w14:textId="7A090D83" w:rsidR="00440D0D" w:rsidRDefault="00440D0D" w:rsidP="005A4803">
      <w:pPr>
        <w:pStyle w:val="NoSpacing"/>
        <w:jc w:val="both"/>
        <w:rPr>
          <w:rFonts w:asciiTheme="majorBidi" w:hAnsiTheme="majorBidi" w:cstheme="majorBidi"/>
          <w:sz w:val="20"/>
          <w:szCs w:val="20"/>
        </w:rPr>
      </w:pPr>
    </w:p>
    <w:p w14:paraId="22C9FD72" w14:textId="77777777" w:rsidR="00440D0D" w:rsidRDefault="00440D0D" w:rsidP="00440D0D">
      <w:pPr>
        <w:bidi w:val="0"/>
        <w:jc w:val="both"/>
        <w:rPr>
          <w:rFonts w:asciiTheme="majorBidi" w:hAnsiTheme="majorBidi" w:cstheme="majorBidi"/>
          <w:b/>
          <w:bCs/>
          <w:sz w:val="20"/>
          <w:szCs w:val="20"/>
        </w:rPr>
      </w:pPr>
      <w:r w:rsidRPr="000D1BEE">
        <w:rPr>
          <w:rFonts w:asciiTheme="majorBidi" w:hAnsiTheme="majorBidi" w:cstheme="majorBidi"/>
          <w:b/>
          <w:bCs/>
          <w:sz w:val="20"/>
          <w:szCs w:val="20"/>
        </w:rPr>
        <w:t>References</w:t>
      </w:r>
      <w:r>
        <w:rPr>
          <w:rFonts w:asciiTheme="majorBidi" w:hAnsiTheme="majorBidi" w:cstheme="majorBidi"/>
          <w:b/>
          <w:bCs/>
          <w:sz w:val="20"/>
          <w:szCs w:val="20"/>
        </w:rPr>
        <w:t>:</w:t>
      </w:r>
    </w:p>
    <w:p w14:paraId="3A0CB0C4" w14:textId="77777777" w:rsidR="00440D0D" w:rsidRPr="00AA1284" w:rsidRDefault="00440D0D" w:rsidP="00440D0D">
      <w:pPr>
        <w:bidi w:val="0"/>
        <w:jc w:val="both"/>
        <w:rPr>
          <w:rFonts w:asciiTheme="majorBidi" w:hAnsiTheme="majorBidi" w:cstheme="majorBidi"/>
          <w:sz w:val="20"/>
          <w:szCs w:val="20"/>
        </w:rPr>
      </w:pPr>
      <w:r w:rsidRPr="00AA1284">
        <w:rPr>
          <w:rFonts w:asciiTheme="majorBidi" w:hAnsiTheme="majorBidi" w:cstheme="majorBidi"/>
          <w:sz w:val="20"/>
          <w:szCs w:val="20"/>
        </w:rPr>
        <w:t xml:space="preserve">De Hoog, G.S., </w:t>
      </w:r>
      <w:proofErr w:type="spellStart"/>
      <w:r w:rsidRPr="00AA1284">
        <w:rPr>
          <w:rFonts w:asciiTheme="majorBidi" w:hAnsiTheme="majorBidi" w:cstheme="majorBidi"/>
          <w:sz w:val="20"/>
          <w:szCs w:val="20"/>
        </w:rPr>
        <w:t>Guarro</w:t>
      </w:r>
      <w:proofErr w:type="spellEnd"/>
      <w:r w:rsidRPr="00AA1284">
        <w:rPr>
          <w:rFonts w:asciiTheme="majorBidi" w:hAnsiTheme="majorBidi" w:cstheme="majorBidi"/>
          <w:sz w:val="20"/>
          <w:szCs w:val="20"/>
        </w:rPr>
        <w:t xml:space="preserve">, J., </w:t>
      </w:r>
      <w:proofErr w:type="spellStart"/>
      <w:r w:rsidRPr="00AA1284">
        <w:rPr>
          <w:rFonts w:asciiTheme="majorBidi" w:hAnsiTheme="majorBidi" w:cstheme="majorBidi"/>
          <w:sz w:val="20"/>
          <w:szCs w:val="20"/>
        </w:rPr>
        <w:t>Gené</w:t>
      </w:r>
      <w:proofErr w:type="spellEnd"/>
      <w:r w:rsidRPr="00AA1284">
        <w:rPr>
          <w:rFonts w:asciiTheme="majorBidi" w:hAnsiTheme="majorBidi" w:cstheme="majorBidi"/>
          <w:sz w:val="20"/>
          <w:szCs w:val="20"/>
        </w:rPr>
        <w:t xml:space="preserve">, J. and Figueras, M.J. (2019). Atlas of Clinical Fungi. 4th ed. Utrecht, The Netherlands: </w:t>
      </w:r>
      <w:proofErr w:type="spellStart"/>
      <w:r w:rsidRPr="00AA1284">
        <w:rPr>
          <w:rFonts w:asciiTheme="majorBidi" w:hAnsiTheme="majorBidi" w:cstheme="majorBidi"/>
          <w:sz w:val="20"/>
          <w:szCs w:val="20"/>
        </w:rPr>
        <w:t>Westerdijk</w:t>
      </w:r>
      <w:proofErr w:type="spellEnd"/>
      <w:r w:rsidRPr="00AA1284">
        <w:rPr>
          <w:rFonts w:asciiTheme="majorBidi" w:hAnsiTheme="majorBidi" w:cstheme="majorBidi"/>
          <w:sz w:val="20"/>
          <w:szCs w:val="20"/>
        </w:rPr>
        <w:t xml:space="preserve"> Institute.</w:t>
      </w:r>
    </w:p>
    <w:p w14:paraId="13E62B71" w14:textId="77777777" w:rsidR="00440D0D" w:rsidRPr="00732611" w:rsidRDefault="00440D0D" w:rsidP="00440D0D">
      <w:pPr>
        <w:bidi w:val="0"/>
        <w:jc w:val="both"/>
        <w:rPr>
          <w:rFonts w:asciiTheme="majorBidi" w:hAnsiTheme="majorBidi" w:cstheme="majorBidi"/>
          <w:sz w:val="20"/>
          <w:szCs w:val="20"/>
        </w:rPr>
      </w:pPr>
      <w:r w:rsidRPr="00732611">
        <w:rPr>
          <w:rFonts w:asciiTheme="majorBidi" w:hAnsiTheme="majorBidi" w:cstheme="majorBidi"/>
          <w:sz w:val="20"/>
          <w:szCs w:val="20"/>
        </w:rPr>
        <w:t>John Pouris, Konstantinos Konstantinidis, Ioanna Pyrri, Effie G. Papageorgiou, and Chrysa Voyiatzaki, “</w:t>
      </w:r>
      <w:proofErr w:type="spellStart"/>
      <w:r w:rsidRPr="00732611">
        <w:rPr>
          <w:rFonts w:asciiTheme="majorBidi" w:hAnsiTheme="majorBidi" w:cstheme="majorBidi"/>
          <w:sz w:val="20"/>
          <w:szCs w:val="20"/>
        </w:rPr>
        <w:t>FungID</w:t>
      </w:r>
      <w:proofErr w:type="spellEnd"/>
      <w:r w:rsidRPr="00732611">
        <w:rPr>
          <w:rFonts w:asciiTheme="majorBidi" w:hAnsiTheme="majorBidi" w:cstheme="majorBidi"/>
          <w:sz w:val="20"/>
          <w:szCs w:val="20"/>
        </w:rPr>
        <w:t xml:space="preserve">: Innovative Fungi Identification Method with Chromogenic Profiling of Colony Color Patterns,” </w:t>
      </w:r>
      <w:r w:rsidRPr="00732611">
        <w:rPr>
          <w:rFonts w:asciiTheme="majorBidi" w:hAnsiTheme="majorBidi" w:cstheme="majorBidi"/>
          <w:i/>
          <w:iCs/>
          <w:sz w:val="20"/>
          <w:szCs w:val="20"/>
        </w:rPr>
        <w:t>Pathogens</w:t>
      </w:r>
      <w:r w:rsidRPr="00732611">
        <w:rPr>
          <w:rFonts w:asciiTheme="majorBidi" w:hAnsiTheme="majorBidi" w:cstheme="majorBidi"/>
          <w:sz w:val="20"/>
          <w:szCs w:val="20"/>
        </w:rPr>
        <w:t>, vol. 14, no. 3 (2025), p. 242,</w:t>
      </w:r>
    </w:p>
    <w:p w14:paraId="001D5889" w14:textId="77777777" w:rsidR="00440D0D" w:rsidRPr="00732611" w:rsidRDefault="00440D0D" w:rsidP="00440D0D">
      <w:pPr>
        <w:bidi w:val="0"/>
        <w:jc w:val="both"/>
        <w:rPr>
          <w:rFonts w:asciiTheme="majorBidi" w:hAnsiTheme="majorBidi" w:cstheme="majorBidi"/>
          <w:sz w:val="20"/>
          <w:szCs w:val="20"/>
        </w:rPr>
      </w:pPr>
      <w:r w:rsidRPr="00732611">
        <w:rPr>
          <w:rFonts w:asciiTheme="majorBidi" w:hAnsiTheme="majorBidi" w:cstheme="majorBidi"/>
          <w:sz w:val="20"/>
          <w:szCs w:val="20"/>
        </w:rPr>
        <w:t xml:space="preserve">İrem Mutlu and Duygu Kadai̇fçi̇ler, “Fungal Inhabitants of Deteriorated Historical Manuscripts at Istanbul University’s Virtual Library: Comparative Sampling and Media Assessments,” </w:t>
      </w:r>
      <w:r w:rsidRPr="00732611">
        <w:rPr>
          <w:rFonts w:asciiTheme="majorBidi" w:hAnsiTheme="majorBidi" w:cstheme="majorBidi"/>
          <w:i/>
          <w:iCs/>
          <w:sz w:val="20"/>
          <w:szCs w:val="20"/>
        </w:rPr>
        <w:t>Gazi University Journal of Science</w:t>
      </w:r>
      <w:r w:rsidRPr="00732611">
        <w:rPr>
          <w:rFonts w:asciiTheme="majorBidi" w:hAnsiTheme="majorBidi" w:cstheme="majorBidi"/>
          <w:sz w:val="20"/>
          <w:szCs w:val="20"/>
        </w:rPr>
        <w:t xml:space="preserve"> (2026), p. 41-47.</w:t>
      </w:r>
    </w:p>
    <w:p w14:paraId="00DA2204" w14:textId="77777777" w:rsidR="00440D0D" w:rsidRPr="00732611" w:rsidRDefault="00440D0D" w:rsidP="00440D0D">
      <w:pPr>
        <w:bidi w:val="0"/>
        <w:jc w:val="both"/>
        <w:rPr>
          <w:rFonts w:asciiTheme="majorBidi" w:hAnsiTheme="majorBidi" w:cstheme="majorBidi"/>
          <w:sz w:val="20"/>
          <w:szCs w:val="20"/>
        </w:rPr>
      </w:pPr>
      <w:r w:rsidRPr="00732611">
        <w:rPr>
          <w:rFonts w:asciiTheme="majorBidi" w:hAnsiTheme="majorBidi" w:cstheme="majorBidi"/>
          <w:sz w:val="20"/>
          <w:szCs w:val="20"/>
        </w:rPr>
        <w:t xml:space="preserve">Daniela Ehgartner, Christoph Herwig, and Jens Fricke, “Morphological Analysis of the Filamentous Fungus </w:t>
      </w:r>
      <w:r w:rsidRPr="00732611">
        <w:rPr>
          <w:rFonts w:asciiTheme="majorBidi" w:hAnsiTheme="majorBidi" w:cstheme="majorBidi"/>
          <w:i/>
          <w:iCs/>
          <w:sz w:val="20"/>
          <w:szCs w:val="20"/>
        </w:rPr>
        <w:t>Penicillium chrysogenum</w:t>
      </w:r>
      <w:r w:rsidRPr="00732611">
        <w:rPr>
          <w:rFonts w:asciiTheme="majorBidi" w:hAnsiTheme="majorBidi" w:cstheme="majorBidi"/>
          <w:sz w:val="20"/>
          <w:szCs w:val="20"/>
        </w:rPr>
        <w:t xml:space="preserve"> Using Flow Cytometry—the Fast Alternative to Microscopic Image Analysis,” </w:t>
      </w:r>
      <w:r w:rsidRPr="00732611">
        <w:rPr>
          <w:rFonts w:asciiTheme="majorBidi" w:hAnsiTheme="majorBidi" w:cstheme="majorBidi"/>
          <w:i/>
          <w:iCs/>
          <w:sz w:val="20"/>
          <w:szCs w:val="20"/>
        </w:rPr>
        <w:t>Applied Microbiology and Biotechnology</w:t>
      </w:r>
      <w:r w:rsidRPr="00732611">
        <w:rPr>
          <w:rFonts w:asciiTheme="majorBidi" w:hAnsiTheme="majorBidi" w:cstheme="majorBidi"/>
          <w:sz w:val="20"/>
          <w:szCs w:val="20"/>
        </w:rPr>
        <w:t>, vol. 101, no. 20 (2017), pp. 7675–7688</w:t>
      </w:r>
    </w:p>
    <w:p w14:paraId="4B57A74E" w14:textId="77777777" w:rsidR="00440D0D" w:rsidRPr="00732611" w:rsidRDefault="00440D0D" w:rsidP="00440D0D">
      <w:pPr>
        <w:bidi w:val="0"/>
        <w:jc w:val="both"/>
        <w:rPr>
          <w:rFonts w:asciiTheme="majorBidi" w:hAnsiTheme="majorBidi" w:cstheme="majorBidi"/>
          <w:sz w:val="20"/>
          <w:szCs w:val="20"/>
        </w:rPr>
      </w:pPr>
      <w:r w:rsidRPr="00732611">
        <w:rPr>
          <w:rFonts w:asciiTheme="majorBidi" w:hAnsiTheme="majorBidi" w:cstheme="majorBidi"/>
          <w:sz w:val="20"/>
          <w:szCs w:val="20"/>
        </w:rPr>
        <w:t xml:space="preserve">Pritika Maji, Abhijit Ghosh, Amit Banik, and Atul Raj, “Comparison between Sabouraud Dextrose Agar (SDA) and Potato Dextrose Agar (PDA) with Banana Peel (BP) for Studying Fungi in the Air by Settle-Plate Method,” </w:t>
      </w:r>
      <w:r w:rsidRPr="00732611">
        <w:rPr>
          <w:rFonts w:asciiTheme="majorBidi" w:hAnsiTheme="majorBidi" w:cstheme="majorBidi"/>
          <w:i/>
          <w:iCs/>
          <w:sz w:val="20"/>
          <w:szCs w:val="20"/>
        </w:rPr>
        <w:t>International Journal of Scientific Development and Research (IJSDR)</w:t>
      </w:r>
      <w:r w:rsidRPr="00732611">
        <w:rPr>
          <w:rFonts w:asciiTheme="majorBidi" w:hAnsiTheme="majorBidi" w:cstheme="majorBidi"/>
          <w:sz w:val="20"/>
          <w:szCs w:val="20"/>
        </w:rPr>
        <w:t>, vol. 8, no. 7 (2023).</w:t>
      </w:r>
    </w:p>
    <w:p w14:paraId="7CBA37DB" w14:textId="77777777" w:rsidR="00440D0D" w:rsidRPr="00732611" w:rsidRDefault="00440D0D" w:rsidP="00440D0D">
      <w:pPr>
        <w:bidi w:val="0"/>
        <w:jc w:val="both"/>
        <w:rPr>
          <w:rFonts w:asciiTheme="majorBidi" w:hAnsiTheme="majorBidi" w:cstheme="majorBidi"/>
          <w:sz w:val="20"/>
          <w:szCs w:val="20"/>
        </w:rPr>
      </w:pPr>
      <w:r w:rsidRPr="00732611">
        <w:rPr>
          <w:rFonts w:asciiTheme="majorBidi" w:hAnsiTheme="majorBidi" w:cstheme="majorBidi"/>
          <w:sz w:val="20"/>
          <w:szCs w:val="20"/>
        </w:rPr>
        <w:t>S. Kumar, et al., “MEGA X,” Molecular Biology and Evolution, vol. 35, no. 6 (2018), pp. 1547–1549.</w:t>
      </w:r>
    </w:p>
    <w:p w14:paraId="0EFDCDE3" w14:textId="77777777" w:rsidR="00440D0D" w:rsidRPr="00732611" w:rsidRDefault="00440D0D" w:rsidP="00440D0D">
      <w:pPr>
        <w:bidi w:val="0"/>
        <w:jc w:val="both"/>
        <w:rPr>
          <w:rFonts w:asciiTheme="majorBidi" w:hAnsiTheme="majorBidi" w:cstheme="majorBidi"/>
          <w:sz w:val="20"/>
          <w:szCs w:val="20"/>
        </w:rPr>
      </w:pPr>
      <w:r w:rsidRPr="00732611">
        <w:rPr>
          <w:rFonts w:asciiTheme="majorBidi" w:hAnsiTheme="majorBidi" w:cstheme="majorBidi"/>
          <w:sz w:val="20"/>
          <w:szCs w:val="20"/>
        </w:rPr>
        <w:t xml:space="preserve">C. L. Schoch, et al., “ITS as Universal Fungal Barcode,” </w:t>
      </w:r>
      <w:r w:rsidRPr="00732611">
        <w:rPr>
          <w:rFonts w:asciiTheme="majorBidi" w:hAnsiTheme="majorBidi" w:cstheme="majorBidi"/>
          <w:i/>
          <w:iCs/>
          <w:sz w:val="20"/>
          <w:szCs w:val="20"/>
        </w:rPr>
        <w:t>Proceedings of the National Academy of Sciences (PNAS)</w:t>
      </w:r>
      <w:r w:rsidRPr="00732611">
        <w:rPr>
          <w:rFonts w:asciiTheme="majorBidi" w:hAnsiTheme="majorBidi" w:cstheme="majorBidi"/>
          <w:sz w:val="20"/>
          <w:szCs w:val="20"/>
        </w:rPr>
        <w:t>, vol. 109, no. 16 (2012), pp. 6241–6246.</w:t>
      </w:r>
    </w:p>
    <w:p w14:paraId="39D044B9" w14:textId="77777777" w:rsidR="00440D0D" w:rsidRDefault="00440D0D" w:rsidP="00440D0D">
      <w:pPr>
        <w:jc w:val="both"/>
        <w:rPr>
          <w:rFonts w:asciiTheme="majorBidi" w:hAnsiTheme="majorBidi" w:cstheme="majorBidi"/>
          <w:sz w:val="20"/>
          <w:szCs w:val="20"/>
        </w:rPr>
      </w:pPr>
    </w:p>
    <w:p w14:paraId="44A6F335" w14:textId="77777777" w:rsidR="000D0393" w:rsidRDefault="000D0393" w:rsidP="000D0393">
      <w:pPr>
        <w:bidi w:val="0"/>
        <w:jc w:val="both"/>
        <w:rPr>
          <w:rFonts w:asciiTheme="majorBidi" w:hAnsiTheme="majorBidi" w:cstheme="majorBidi"/>
          <w:b/>
          <w:bCs/>
          <w:sz w:val="20"/>
          <w:szCs w:val="20"/>
        </w:rPr>
      </w:pPr>
    </w:p>
    <w:p w14:paraId="564DFC5C" w14:textId="77777777" w:rsidR="000D0393" w:rsidRDefault="000D0393" w:rsidP="000D0393">
      <w:pPr>
        <w:bidi w:val="0"/>
        <w:jc w:val="both"/>
        <w:rPr>
          <w:rFonts w:asciiTheme="majorBidi" w:hAnsiTheme="majorBidi" w:cstheme="majorBidi"/>
          <w:b/>
          <w:bCs/>
          <w:sz w:val="20"/>
          <w:szCs w:val="20"/>
        </w:rPr>
      </w:pPr>
    </w:p>
    <w:p w14:paraId="57F11ED5" w14:textId="77777777" w:rsidR="00321263" w:rsidRDefault="00321263" w:rsidP="00321263">
      <w:pPr>
        <w:bidi w:val="0"/>
        <w:jc w:val="both"/>
      </w:pPr>
    </w:p>
    <w:sectPr w:rsidR="00321263" w:rsidSect="009A4B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D4F"/>
    <w:rsid w:val="000D0393"/>
    <w:rsid w:val="000F638D"/>
    <w:rsid w:val="00182D65"/>
    <w:rsid w:val="00250D98"/>
    <w:rsid w:val="0028533A"/>
    <w:rsid w:val="00321263"/>
    <w:rsid w:val="00440D0D"/>
    <w:rsid w:val="005A4803"/>
    <w:rsid w:val="005B05AF"/>
    <w:rsid w:val="009A4BEE"/>
    <w:rsid w:val="00AA4C19"/>
    <w:rsid w:val="00C208DE"/>
    <w:rsid w:val="00D30F61"/>
    <w:rsid w:val="00D47F08"/>
    <w:rsid w:val="00D71844"/>
    <w:rsid w:val="00DA286B"/>
    <w:rsid w:val="00DA2A59"/>
    <w:rsid w:val="00E02543"/>
    <w:rsid w:val="00E26D4F"/>
    <w:rsid w:val="00F733A4"/>
    <w:rsid w:val="00FA5784"/>
    <w:rsid w:val="00FE16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45197"/>
  <w15:chartTrackingRefBased/>
  <w15:docId w15:val="{11228CFE-8F33-4B85-9CF6-C7ECD20B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E26D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6D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6D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6D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6D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6D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D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D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D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D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6D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6D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6D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6D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6D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D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D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D4F"/>
    <w:rPr>
      <w:rFonts w:eastAsiaTheme="majorEastAsia" w:cstheme="majorBidi"/>
      <w:color w:val="272727" w:themeColor="text1" w:themeTint="D8"/>
    </w:rPr>
  </w:style>
  <w:style w:type="paragraph" w:styleId="Title">
    <w:name w:val="Title"/>
    <w:basedOn w:val="Normal"/>
    <w:next w:val="Normal"/>
    <w:link w:val="TitleChar"/>
    <w:uiPriority w:val="10"/>
    <w:qFormat/>
    <w:rsid w:val="00E26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D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D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D4F"/>
    <w:pPr>
      <w:spacing w:before="160"/>
      <w:jc w:val="center"/>
    </w:pPr>
    <w:rPr>
      <w:i/>
      <w:iCs/>
      <w:color w:val="404040" w:themeColor="text1" w:themeTint="BF"/>
    </w:rPr>
  </w:style>
  <w:style w:type="character" w:customStyle="1" w:styleId="QuoteChar">
    <w:name w:val="Quote Char"/>
    <w:basedOn w:val="DefaultParagraphFont"/>
    <w:link w:val="Quote"/>
    <w:uiPriority w:val="29"/>
    <w:rsid w:val="00E26D4F"/>
    <w:rPr>
      <w:i/>
      <w:iCs/>
      <w:color w:val="404040" w:themeColor="text1" w:themeTint="BF"/>
    </w:rPr>
  </w:style>
  <w:style w:type="paragraph" w:styleId="ListParagraph">
    <w:name w:val="List Paragraph"/>
    <w:basedOn w:val="Normal"/>
    <w:uiPriority w:val="34"/>
    <w:qFormat/>
    <w:rsid w:val="00E26D4F"/>
    <w:pPr>
      <w:ind w:left="720"/>
      <w:contextualSpacing/>
    </w:pPr>
  </w:style>
  <w:style w:type="character" w:styleId="IntenseEmphasis">
    <w:name w:val="Intense Emphasis"/>
    <w:basedOn w:val="DefaultParagraphFont"/>
    <w:uiPriority w:val="21"/>
    <w:qFormat/>
    <w:rsid w:val="00E26D4F"/>
    <w:rPr>
      <w:i/>
      <w:iCs/>
      <w:color w:val="2F5496" w:themeColor="accent1" w:themeShade="BF"/>
    </w:rPr>
  </w:style>
  <w:style w:type="paragraph" w:styleId="IntenseQuote">
    <w:name w:val="Intense Quote"/>
    <w:basedOn w:val="Normal"/>
    <w:next w:val="Normal"/>
    <w:link w:val="IntenseQuoteChar"/>
    <w:uiPriority w:val="30"/>
    <w:qFormat/>
    <w:rsid w:val="00E26D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6D4F"/>
    <w:rPr>
      <w:i/>
      <w:iCs/>
      <w:color w:val="2F5496" w:themeColor="accent1" w:themeShade="BF"/>
    </w:rPr>
  </w:style>
  <w:style w:type="character" w:styleId="IntenseReference">
    <w:name w:val="Intense Reference"/>
    <w:basedOn w:val="DefaultParagraphFont"/>
    <w:uiPriority w:val="32"/>
    <w:qFormat/>
    <w:rsid w:val="00E26D4F"/>
    <w:rPr>
      <w:b/>
      <w:bCs/>
      <w:smallCaps/>
      <w:color w:val="2F5496" w:themeColor="accent1" w:themeShade="BF"/>
      <w:spacing w:val="5"/>
    </w:rPr>
  </w:style>
  <w:style w:type="paragraph" w:styleId="NormalWeb">
    <w:name w:val="Normal (Web)"/>
    <w:basedOn w:val="Normal"/>
    <w:uiPriority w:val="99"/>
    <w:unhideWhenUsed/>
    <w:rsid w:val="00321263"/>
    <w:pPr>
      <w:bidi w:val="0"/>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styleId="NoSpacing">
    <w:name w:val="No Spacing"/>
    <w:uiPriority w:val="1"/>
    <w:qFormat/>
    <w:rsid w:val="00440D0D"/>
    <w:pPr>
      <w:spacing w:after="0" w:line="240" w:lineRule="auto"/>
    </w:pPr>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Azhar najjar</dc:creator>
  <cp:keywords/>
  <dc:description/>
  <cp:lastModifiedBy>Azhar najjar</cp:lastModifiedBy>
  <cp:revision>13</cp:revision>
  <dcterms:created xsi:type="dcterms:W3CDTF">2026-05-05T13:53:00Z</dcterms:created>
  <dcterms:modified xsi:type="dcterms:W3CDTF">2026-05-09T16:55:00Z</dcterms:modified>
</cp:coreProperties>
</file>