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8E85B6" w14:textId="338D6A79" w:rsidR="006B521F" w:rsidRDefault="006B521F" w:rsidP="006B521F">
      <w:pPr>
        <w:pStyle w:val="NormalWeb"/>
        <w:ind w:firstLine="567"/>
        <w:jc w:val="center"/>
        <w:rPr>
          <w:rFonts w:asciiTheme="majorBidi" w:hAnsiTheme="majorBidi" w:cstheme="majorBidi"/>
          <w:b/>
          <w:bCs/>
        </w:rPr>
      </w:pPr>
      <w:r>
        <w:rPr>
          <w:rFonts w:asciiTheme="majorBidi" w:hAnsiTheme="majorBidi" w:cstheme="majorBidi" w:hint="cs"/>
          <w:b/>
          <w:bCs/>
          <w:noProof/>
          <w:rtl/>
        </w:rPr>
        <w:t xml:space="preserve">   </w:t>
      </w:r>
      <w:r w:rsidRPr="006B521F">
        <w:rPr>
          <w:rFonts w:asciiTheme="majorBidi" w:hAnsiTheme="majorBidi" w:cstheme="majorBidi"/>
          <w:b/>
          <w:bCs/>
          <w:noProof/>
        </w:rPr>
        <w:drawing>
          <wp:inline distT="0" distB="0" distL="0" distR="0" wp14:anchorId="65660B89" wp14:editId="050477C7">
            <wp:extent cx="1114865" cy="1122783"/>
            <wp:effectExtent l="0" t="0" r="9525" b="1270"/>
            <wp:docPr id="16234444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118859" cy="1126805"/>
                    </a:xfrm>
                    <a:prstGeom prst="rect">
                      <a:avLst/>
                    </a:prstGeom>
                    <a:noFill/>
                    <a:ln>
                      <a:noFill/>
                    </a:ln>
                  </pic:spPr>
                </pic:pic>
              </a:graphicData>
            </a:graphic>
          </wp:inline>
        </w:drawing>
      </w:r>
      <w:r>
        <w:rPr>
          <w:rFonts w:asciiTheme="majorBidi" w:hAnsiTheme="majorBidi" w:cstheme="majorBidi" w:hint="cs"/>
          <w:b/>
          <w:bCs/>
          <w:noProof/>
          <w:rtl/>
        </w:rPr>
        <w:t xml:space="preserve">                                                                      </w:t>
      </w:r>
      <w:r w:rsidRPr="006B521F">
        <w:rPr>
          <w:rFonts w:asciiTheme="majorBidi" w:hAnsiTheme="majorBidi" w:cstheme="majorBidi"/>
          <w:b/>
          <w:bCs/>
        </w:rPr>
        <w:drawing>
          <wp:inline distT="0" distB="0" distL="0" distR="0" wp14:anchorId="010CCFC6" wp14:editId="533A776D">
            <wp:extent cx="970200" cy="1001486"/>
            <wp:effectExtent l="0" t="0" r="1905" b="8255"/>
            <wp:docPr id="162947631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973439" cy="1004829"/>
                    </a:xfrm>
                    <a:prstGeom prst="rect">
                      <a:avLst/>
                    </a:prstGeom>
                    <a:noFill/>
                    <a:ln>
                      <a:noFill/>
                    </a:ln>
                  </pic:spPr>
                </pic:pic>
              </a:graphicData>
            </a:graphic>
          </wp:inline>
        </w:drawing>
      </w:r>
    </w:p>
    <w:p w14:paraId="22A48B17" w14:textId="61B80B18" w:rsidR="00195BEA" w:rsidRPr="0076512C" w:rsidRDefault="00195BEA" w:rsidP="00BD020F">
      <w:pPr>
        <w:pStyle w:val="NormalWeb"/>
        <w:ind w:firstLine="567"/>
        <w:jc w:val="center"/>
        <w:rPr>
          <w:rFonts w:asciiTheme="majorBidi" w:hAnsiTheme="majorBidi" w:cstheme="majorBidi"/>
          <w:b/>
          <w:bCs/>
        </w:rPr>
      </w:pPr>
      <w:r w:rsidRPr="0076512C">
        <w:rPr>
          <w:rFonts w:asciiTheme="majorBidi" w:hAnsiTheme="majorBidi" w:cstheme="majorBidi"/>
          <w:b/>
          <w:bCs/>
        </w:rPr>
        <w:t xml:space="preserve">Isolation and Molecular Identification of Oral Fungi Using </w:t>
      </w:r>
      <w:r w:rsidR="00595D40">
        <w:rPr>
          <w:rFonts w:asciiTheme="majorBidi" w:hAnsiTheme="majorBidi" w:cstheme="majorBidi"/>
          <w:b/>
          <w:bCs/>
        </w:rPr>
        <w:t>different</w:t>
      </w:r>
      <w:r w:rsidRPr="0076512C">
        <w:rPr>
          <w:rFonts w:asciiTheme="majorBidi" w:hAnsiTheme="majorBidi" w:cstheme="majorBidi"/>
          <w:b/>
          <w:bCs/>
        </w:rPr>
        <w:t xml:space="preserve"> Media</w:t>
      </w:r>
    </w:p>
    <w:p w14:paraId="46C9396B" w14:textId="5A0CAC63" w:rsidR="00163E7D" w:rsidRPr="00BD020F" w:rsidRDefault="00163E7D" w:rsidP="00BD020F">
      <w:pPr>
        <w:pStyle w:val="NormalWeb"/>
        <w:ind w:firstLine="567"/>
        <w:jc w:val="center"/>
        <w:rPr>
          <w:rFonts w:asciiTheme="majorBidi" w:hAnsiTheme="majorBidi" w:cstheme="majorBidi"/>
          <w:sz w:val="20"/>
          <w:szCs w:val="20"/>
        </w:rPr>
      </w:pPr>
      <w:r w:rsidRPr="00BD020F">
        <w:rPr>
          <w:rFonts w:asciiTheme="majorBidi" w:hAnsiTheme="majorBidi" w:cstheme="majorBidi"/>
          <w:sz w:val="20"/>
          <w:szCs w:val="20"/>
        </w:rPr>
        <w:t>Azhar Najjar 1, Ali Jourk 2, Aisha Shathan, and Samah Noor</w:t>
      </w:r>
    </w:p>
    <w:p w14:paraId="2654CDF9" w14:textId="77777777" w:rsidR="00077932" w:rsidRPr="00BD020F" w:rsidRDefault="00077932" w:rsidP="00BD020F">
      <w:pPr>
        <w:pStyle w:val="NormalWeb"/>
        <w:ind w:firstLine="567"/>
        <w:jc w:val="center"/>
        <w:rPr>
          <w:rFonts w:asciiTheme="majorBidi" w:hAnsiTheme="majorBidi" w:cstheme="majorBidi"/>
          <w:sz w:val="20"/>
          <w:szCs w:val="20"/>
        </w:rPr>
      </w:pPr>
      <w:r w:rsidRPr="00BD020F">
        <w:rPr>
          <w:rFonts w:asciiTheme="majorBidi" w:hAnsiTheme="majorBidi" w:cstheme="majorBidi"/>
          <w:sz w:val="20"/>
          <w:szCs w:val="20"/>
        </w:rPr>
        <w:t>1Department of Biological Sciences, Faculty of Science, King Abdulaziz University, Jeddah 21488, Saudi Arabia</w:t>
      </w:r>
    </w:p>
    <w:p w14:paraId="3D15D4BF" w14:textId="1E6E95D0" w:rsidR="00077932" w:rsidRPr="00BD020F" w:rsidRDefault="00077932" w:rsidP="00BD020F">
      <w:pPr>
        <w:pStyle w:val="NormalWeb"/>
        <w:ind w:firstLine="567"/>
        <w:jc w:val="center"/>
        <w:rPr>
          <w:rFonts w:asciiTheme="majorBidi" w:hAnsiTheme="majorBidi" w:cstheme="majorBidi"/>
          <w:sz w:val="20"/>
          <w:szCs w:val="20"/>
        </w:rPr>
      </w:pPr>
      <w:r w:rsidRPr="00BD020F">
        <w:rPr>
          <w:rFonts w:asciiTheme="majorBidi" w:hAnsiTheme="majorBidi" w:cstheme="majorBidi"/>
          <w:sz w:val="20"/>
          <w:szCs w:val="20"/>
        </w:rPr>
        <w:t xml:space="preserve">2 </w:t>
      </w:r>
      <w:proofErr w:type="spellStart"/>
      <w:r w:rsidRPr="00BD020F">
        <w:rPr>
          <w:rFonts w:asciiTheme="majorBidi" w:hAnsiTheme="majorBidi" w:cstheme="majorBidi"/>
          <w:sz w:val="20"/>
          <w:szCs w:val="20"/>
        </w:rPr>
        <w:t>MyHealth</w:t>
      </w:r>
      <w:proofErr w:type="spellEnd"/>
      <w:r w:rsidRPr="00BD020F">
        <w:rPr>
          <w:rFonts w:asciiTheme="majorBidi" w:hAnsiTheme="majorBidi" w:cstheme="majorBidi"/>
          <w:sz w:val="20"/>
          <w:szCs w:val="20"/>
        </w:rPr>
        <w:t xml:space="preserve"> Medical Polyclinic, Jeddah 21431, Saudi Arabia</w:t>
      </w:r>
    </w:p>
    <w:p w14:paraId="67C5E779" w14:textId="1EBEBE01" w:rsidR="00461504" w:rsidRDefault="00461504" w:rsidP="0059760E">
      <w:pPr>
        <w:pStyle w:val="NormalWeb"/>
        <w:spacing w:line="360" w:lineRule="auto"/>
        <w:jc w:val="both"/>
        <w:rPr>
          <w:rFonts w:asciiTheme="majorBidi" w:hAnsiTheme="majorBidi" w:cstheme="majorBidi"/>
          <w:b/>
          <w:bCs/>
        </w:rPr>
      </w:pPr>
      <w:r>
        <w:rPr>
          <w:rFonts w:asciiTheme="majorBidi" w:hAnsiTheme="majorBidi" w:cstheme="majorBidi"/>
          <w:b/>
          <w:bCs/>
        </w:rPr>
        <w:t>Abstract 280 words</w:t>
      </w:r>
    </w:p>
    <w:p w14:paraId="5B8ABFF3" w14:textId="77777777" w:rsidR="001B25D7" w:rsidRPr="00CD0363" w:rsidRDefault="001B25D7" w:rsidP="00CD0363">
      <w:pPr>
        <w:jc w:val="both"/>
        <w:rPr>
          <w:rFonts w:asciiTheme="majorBidi" w:eastAsia="Times New Roman" w:hAnsiTheme="majorBidi" w:cstheme="majorBidi"/>
          <w:sz w:val="20"/>
          <w:szCs w:val="20"/>
        </w:rPr>
      </w:pPr>
      <w:r w:rsidRPr="00CD0363">
        <w:rPr>
          <w:rFonts w:asciiTheme="majorBidi" w:eastAsia="Times New Roman" w:hAnsiTheme="majorBidi" w:cstheme="majorBidi"/>
          <w:sz w:val="20"/>
          <w:szCs w:val="20"/>
        </w:rPr>
        <w:t>Oral fungal infections represent a growing clinical concern, particularly due to the increasing prevalence of opportunistic yeasts and the need for accurate identification methods. The problem addressed in this study is the limited comparative understanding of culture media efficiency and the integration of morphological and molecular tools for reliable identification of oral fungi. The purpose of this study was to isolate, quantify, and identify fungal species from oral samples using Sabouraud Dextrose Agar (SDA) and Potato Dextrose Agar (PDA), and to evaluate their effectiveness in supporting fungal growth.</w:t>
      </w:r>
    </w:p>
    <w:p w14:paraId="74F2BAD2" w14:textId="3E388E0C" w:rsidR="001B25D7" w:rsidRPr="00CD0363" w:rsidRDefault="001B25D7" w:rsidP="00CD0363">
      <w:pPr>
        <w:jc w:val="both"/>
        <w:rPr>
          <w:rFonts w:asciiTheme="majorBidi" w:eastAsia="Times New Roman" w:hAnsiTheme="majorBidi" w:cstheme="majorBidi"/>
          <w:sz w:val="20"/>
          <w:szCs w:val="20"/>
        </w:rPr>
      </w:pPr>
      <w:r w:rsidRPr="00CD0363">
        <w:rPr>
          <w:rFonts w:asciiTheme="majorBidi" w:eastAsia="Times New Roman" w:hAnsiTheme="majorBidi" w:cstheme="majorBidi"/>
          <w:sz w:val="20"/>
          <w:szCs w:val="20"/>
        </w:rPr>
        <w:t xml:space="preserve">Methodology and theoretical orientation: Oral samples were collected from the </w:t>
      </w:r>
      <w:r w:rsidR="000B4C4F">
        <w:rPr>
          <w:rFonts w:asciiTheme="majorBidi" w:eastAsia="Times New Roman" w:hAnsiTheme="majorBidi" w:cstheme="majorBidi"/>
          <w:sz w:val="20"/>
          <w:szCs w:val="20"/>
        </w:rPr>
        <w:t>saliva</w:t>
      </w:r>
      <w:r w:rsidRPr="00CD0363">
        <w:rPr>
          <w:rFonts w:asciiTheme="majorBidi" w:eastAsia="Times New Roman" w:hAnsiTheme="majorBidi" w:cstheme="majorBidi"/>
          <w:sz w:val="20"/>
          <w:szCs w:val="20"/>
        </w:rPr>
        <w:t xml:space="preserve"> using sterile swabs, suspended in phosphate-buffered saline, and cultured on SDA and PDA. Plates were incubated at 25 °C and 37 °C for 2–5 days. Fungal isolates were identified morphologically based on colony and microscopic characteristics, followed by molecular identification through amplification of the internal transcribed spacer (ITS) region using universal ITS1/ITS4 primers. Sequencing results were analyzed using BLAST, and phylogenetic relationships were constructed using MEGA X software.</w:t>
      </w:r>
    </w:p>
    <w:p w14:paraId="6CE68859" w14:textId="52AAB306" w:rsidR="00555734" w:rsidRPr="00CD0363" w:rsidRDefault="001B25D7" w:rsidP="00CD0363">
      <w:pPr>
        <w:jc w:val="both"/>
        <w:rPr>
          <w:rFonts w:asciiTheme="majorBidi" w:hAnsiTheme="majorBidi" w:cstheme="majorBidi"/>
          <w:sz w:val="20"/>
          <w:szCs w:val="20"/>
        </w:rPr>
      </w:pPr>
      <w:r w:rsidRPr="00CD0363">
        <w:rPr>
          <w:rFonts w:asciiTheme="majorBidi" w:eastAsia="Times New Roman" w:hAnsiTheme="majorBidi" w:cstheme="majorBidi"/>
          <w:sz w:val="20"/>
          <w:szCs w:val="20"/>
        </w:rPr>
        <w:t xml:space="preserve">Findings: </w:t>
      </w:r>
      <w:r w:rsidR="00555734" w:rsidRPr="00CD0363">
        <w:rPr>
          <w:rFonts w:asciiTheme="majorBidi" w:hAnsiTheme="majorBidi" w:cstheme="majorBidi"/>
          <w:sz w:val="20"/>
          <w:szCs w:val="20"/>
        </w:rPr>
        <w:t xml:space="preserve">Fungal growth varied between the </w:t>
      </w:r>
      <w:proofErr w:type="gramStart"/>
      <w:r w:rsidR="00555734" w:rsidRPr="00CD0363">
        <w:rPr>
          <w:rFonts w:asciiTheme="majorBidi" w:hAnsiTheme="majorBidi" w:cstheme="majorBidi"/>
          <w:sz w:val="20"/>
          <w:szCs w:val="20"/>
        </w:rPr>
        <w:t>two culture</w:t>
      </w:r>
      <w:proofErr w:type="gramEnd"/>
      <w:r w:rsidR="00555734" w:rsidRPr="00CD0363">
        <w:rPr>
          <w:rFonts w:asciiTheme="majorBidi" w:hAnsiTheme="majorBidi" w:cstheme="majorBidi"/>
          <w:sz w:val="20"/>
          <w:szCs w:val="20"/>
        </w:rPr>
        <w:t xml:space="preserve"> media. Sample A1 showed higher counts on SDA (2.77 × 10³ CFU/mL) compared to PDA (2.34 × 10³ CFU/mL), while sample A2 exhibited greater growth on PDA (7.0 × 10² CFU/mL) than SDA (5.1 × 10² CFU/mL). Molecular identification confirmed the isolates as </w:t>
      </w:r>
      <w:r w:rsidR="00555734" w:rsidRPr="00CD0363">
        <w:rPr>
          <w:rFonts w:asciiTheme="majorBidi" w:hAnsiTheme="majorBidi" w:cstheme="majorBidi"/>
          <w:i/>
          <w:iCs/>
          <w:sz w:val="20"/>
          <w:szCs w:val="20"/>
        </w:rPr>
        <w:t>Candida tropicalis</w:t>
      </w:r>
      <w:r w:rsidR="00555734" w:rsidRPr="00CD0363">
        <w:rPr>
          <w:rFonts w:asciiTheme="majorBidi" w:hAnsiTheme="majorBidi" w:cstheme="majorBidi"/>
          <w:sz w:val="20"/>
          <w:szCs w:val="20"/>
        </w:rPr>
        <w:t xml:space="preserve"> (Ascomycota) with 99.36% identity and </w:t>
      </w:r>
      <w:proofErr w:type="spellStart"/>
      <w:r w:rsidR="00555734" w:rsidRPr="00CD0363">
        <w:rPr>
          <w:rFonts w:asciiTheme="majorBidi" w:hAnsiTheme="majorBidi" w:cstheme="majorBidi"/>
          <w:i/>
          <w:iCs/>
          <w:sz w:val="20"/>
          <w:szCs w:val="20"/>
        </w:rPr>
        <w:t>Rhodotorula</w:t>
      </w:r>
      <w:proofErr w:type="spellEnd"/>
      <w:r w:rsidR="00555734" w:rsidRPr="00CD0363">
        <w:rPr>
          <w:rFonts w:asciiTheme="majorBidi" w:hAnsiTheme="majorBidi" w:cstheme="majorBidi"/>
          <w:i/>
          <w:iCs/>
          <w:sz w:val="20"/>
          <w:szCs w:val="20"/>
        </w:rPr>
        <w:t xml:space="preserve"> </w:t>
      </w:r>
      <w:proofErr w:type="spellStart"/>
      <w:r w:rsidR="00555734" w:rsidRPr="00CD0363">
        <w:rPr>
          <w:rFonts w:asciiTheme="majorBidi" w:hAnsiTheme="majorBidi" w:cstheme="majorBidi"/>
          <w:i/>
          <w:iCs/>
          <w:sz w:val="20"/>
          <w:szCs w:val="20"/>
        </w:rPr>
        <w:t>mucilaginosa</w:t>
      </w:r>
      <w:proofErr w:type="spellEnd"/>
      <w:r w:rsidR="00555734" w:rsidRPr="00CD0363">
        <w:rPr>
          <w:rFonts w:asciiTheme="majorBidi" w:hAnsiTheme="majorBidi" w:cstheme="majorBidi"/>
          <w:sz w:val="20"/>
          <w:szCs w:val="20"/>
        </w:rPr>
        <w:t xml:space="preserve"> (Basidiomycota) with 99.24% identity, demonstrating high accuracy of ITS-based sequencing. </w:t>
      </w:r>
    </w:p>
    <w:p w14:paraId="5D73B2BF" w14:textId="216BDC55" w:rsidR="001B25D7" w:rsidRPr="00CD0363" w:rsidRDefault="001B25D7" w:rsidP="00CD0363">
      <w:pPr>
        <w:jc w:val="both"/>
        <w:rPr>
          <w:rFonts w:asciiTheme="majorBidi" w:hAnsiTheme="majorBidi" w:cstheme="majorBidi"/>
          <w:sz w:val="20"/>
          <w:szCs w:val="20"/>
        </w:rPr>
      </w:pPr>
      <w:r w:rsidRPr="00CD0363">
        <w:rPr>
          <w:rFonts w:asciiTheme="majorBidi" w:eastAsia="Times New Roman" w:hAnsiTheme="majorBidi" w:cstheme="majorBidi"/>
          <w:sz w:val="20"/>
          <w:szCs w:val="20"/>
        </w:rPr>
        <w:t xml:space="preserve">Conclusion and significance: </w:t>
      </w:r>
      <w:r w:rsidR="00555734" w:rsidRPr="00CD0363">
        <w:rPr>
          <w:rFonts w:asciiTheme="majorBidi" w:hAnsiTheme="majorBidi" w:cstheme="majorBidi"/>
          <w:sz w:val="20"/>
          <w:szCs w:val="20"/>
        </w:rPr>
        <w:t xml:space="preserve">The results indicate that fungal growth may vary depending on the culture medium, with no single medium consistently superior for all isolates. The integration of morphological and molecular methods provides reliable identification of oral fungi. Early detection of species such as </w:t>
      </w:r>
      <w:r w:rsidR="00555734" w:rsidRPr="00CD0363">
        <w:rPr>
          <w:rFonts w:asciiTheme="majorBidi" w:hAnsiTheme="majorBidi" w:cstheme="majorBidi"/>
          <w:i/>
          <w:iCs/>
          <w:sz w:val="20"/>
          <w:szCs w:val="20"/>
        </w:rPr>
        <w:t>C. tropicalis</w:t>
      </w:r>
      <w:r w:rsidR="00555734" w:rsidRPr="00CD0363">
        <w:rPr>
          <w:rFonts w:asciiTheme="majorBidi" w:hAnsiTheme="majorBidi" w:cstheme="majorBidi"/>
          <w:sz w:val="20"/>
          <w:szCs w:val="20"/>
        </w:rPr>
        <w:t xml:space="preserve"> and </w:t>
      </w:r>
      <w:r w:rsidR="00555734" w:rsidRPr="00CD0363">
        <w:rPr>
          <w:rFonts w:asciiTheme="majorBidi" w:hAnsiTheme="majorBidi" w:cstheme="majorBidi"/>
          <w:i/>
          <w:iCs/>
          <w:sz w:val="20"/>
          <w:szCs w:val="20"/>
        </w:rPr>
        <w:t xml:space="preserve">R. </w:t>
      </w:r>
      <w:proofErr w:type="spellStart"/>
      <w:r w:rsidR="00555734" w:rsidRPr="00CD0363">
        <w:rPr>
          <w:rFonts w:asciiTheme="majorBidi" w:hAnsiTheme="majorBidi" w:cstheme="majorBidi"/>
          <w:i/>
          <w:iCs/>
          <w:sz w:val="20"/>
          <w:szCs w:val="20"/>
        </w:rPr>
        <w:t>mucilaginosa</w:t>
      </w:r>
      <w:proofErr w:type="spellEnd"/>
      <w:r w:rsidR="00555734" w:rsidRPr="00CD0363">
        <w:rPr>
          <w:rFonts w:asciiTheme="majorBidi" w:hAnsiTheme="majorBidi" w:cstheme="majorBidi"/>
          <w:sz w:val="20"/>
          <w:szCs w:val="20"/>
        </w:rPr>
        <w:t xml:space="preserve"> is important for maintaining dental health and preventing opportunistic oral infections.</w:t>
      </w:r>
    </w:p>
    <w:p w14:paraId="530BDDAE" w14:textId="30F95823" w:rsidR="00F9617E" w:rsidRPr="0065302C" w:rsidRDefault="00F9617E" w:rsidP="0065302C">
      <w:pPr>
        <w:jc w:val="both"/>
        <w:rPr>
          <w:rFonts w:asciiTheme="majorBidi" w:hAnsiTheme="majorBidi" w:cstheme="majorBidi"/>
          <w:b/>
          <w:bCs/>
          <w:sz w:val="20"/>
          <w:szCs w:val="20"/>
        </w:rPr>
      </w:pPr>
      <w:r w:rsidRPr="0065302C">
        <w:rPr>
          <w:rFonts w:asciiTheme="majorBidi" w:hAnsiTheme="majorBidi" w:cstheme="majorBidi"/>
          <w:b/>
          <w:bCs/>
          <w:sz w:val="20"/>
          <w:szCs w:val="20"/>
        </w:rPr>
        <w:t>Biography</w:t>
      </w:r>
    </w:p>
    <w:p w14:paraId="37101940" w14:textId="77777777" w:rsidR="00F9617E" w:rsidRPr="0065302C" w:rsidRDefault="00F9617E" w:rsidP="0065302C">
      <w:pPr>
        <w:jc w:val="both"/>
        <w:rPr>
          <w:rFonts w:asciiTheme="majorBidi" w:eastAsia="Times New Roman" w:hAnsiTheme="majorBidi" w:cstheme="majorBidi"/>
          <w:sz w:val="20"/>
          <w:szCs w:val="20"/>
        </w:rPr>
      </w:pPr>
      <w:r w:rsidRPr="0065302C">
        <w:rPr>
          <w:rFonts w:asciiTheme="majorBidi" w:eastAsia="Times New Roman" w:hAnsiTheme="majorBidi" w:cstheme="majorBidi"/>
          <w:sz w:val="20"/>
          <w:szCs w:val="20"/>
        </w:rPr>
        <w:t>Azhar Abdullah Saeed Najjar is a Professor of Microbiology–Mycology in the Biological Sciences Department at King Abdulaziz University, Jeddah, Saudi Arabia. His research focuses on the morphological and molecular identification of fungi, particularly endophytic fungi isolated from plants, and their applications in biotechnology, environmental sustainability, and public health. He has published extensively in peer-reviewed journals on topics including fungal diversity, mycotoxins, biofuel production, and antimicrobial activity.</w:t>
      </w:r>
    </w:p>
    <w:p w14:paraId="7FA58DA7" w14:textId="304ABBF8" w:rsidR="00F9617E" w:rsidRPr="0065302C" w:rsidRDefault="00F9617E" w:rsidP="0065302C">
      <w:pPr>
        <w:jc w:val="both"/>
        <w:rPr>
          <w:rFonts w:asciiTheme="majorBidi" w:eastAsia="Times New Roman" w:hAnsiTheme="majorBidi" w:cstheme="majorBidi"/>
          <w:sz w:val="20"/>
          <w:szCs w:val="20"/>
        </w:rPr>
      </w:pPr>
      <w:r w:rsidRPr="0065302C">
        <w:rPr>
          <w:rFonts w:asciiTheme="majorBidi" w:eastAsia="Times New Roman" w:hAnsiTheme="majorBidi" w:cstheme="majorBidi"/>
          <w:sz w:val="20"/>
          <w:szCs w:val="20"/>
        </w:rPr>
        <w:lastRenderedPageBreak/>
        <w:t xml:space="preserve">Dr. Najjar earned his Ph.D. in Biology from the University of Putra Malaysia in 2014, where his research addressed fungal biodegradation of toxic compounds in </w:t>
      </w:r>
      <w:r w:rsidRPr="0065302C">
        <w:rPr>
          <w:rFonts w:asciiTheme="majorBidi" w:eastAsia="Times New Roman" w:hAnsiTheme="majorBidi" w:cstheme="majorBidi"/>
          <w:i/>
          <w:iCs/>
          <w:sz w:val="20"/>
          <w:szCs w:val="20"/>
        </w:rPr>
        <w:t xml:space="preserve">Jatropha </w:t>
      </w:r>
      <w:proofErr w:type="spellStart"/>
      <w:r w:rsidRPr="0065302C">
        <w:rPr>
          <w:rFonts w:asciiTheme="majorBidi" w:eastAsia="Times New Roman" w:hAnsiTheme="majorBidi" w:cstheme="majorBidi"/>
          <w:i/>
          <w:iCs/>
          <w:sz w:val="20"/>
          <w:szCs w:val="20"/>
        </w:rPr>
        <w:t>curcas</w:t>
      </w:r>
      <w:proofErr w:type="spellEnd"/>
      <w:r w:rsidRPr="0065302C">
        <w:rPr>
          <w:rFonts w:asciiTheme="majorBidi" w:eastAsia="Times New Roman" w:hAnsiTheme="majorBidi" w:cstheme="majorBidi"/>
          <w:sz w:val="20"/>
          <w:szCs w:val="20"/>
        </w:rPr>
        <w:t>. He also holds an M.Sc. and B.Sc. in Microbiology from King Abdulaziz University. He has served in multiple academic roles, including Fulbright Visiting Scholar at the University of Florida. In addition to teaching undergraduate and postgraduate courses, he supervises graduate students and leads funded research projects in applied microbiology and mycology.</w:t>
      </w:r>
    </w:p>
    <w:p w14:paraId="3DAFCA80" w14:textId="5E20C5FE" w:rsidR="0059760E" w:rsidRPr="00631906" w:rsidRDefault="00E444C7" w:rsidP="00B94AEB">
      <w:pPr>
        <w:jc w:val="both"/>
        <w:rPr>
          <w:rFonts w:asciiTheme="majorBidi" w:hAnsiTheme="majorBidi" w:cstheme="majorBidi"/>
          <w:b/>
          <w:bCs/>
          <w:sz w:val="20"/>
          <w:szCs w:val="20"/>
        </w:rPr>
      </w:pPr>
      <w:r w:rsidRPr="00631906">
        <w:rPr>
          <w:rFonts w:asciiTheme="majorBidi" w:hAnsiTheme="majorBidi" w:cstheme="majorBidi"/>
          <w:b/>
          <w:bCs/>
          <w:sz w:val="20"/>
          <w:szCs w:val="20"/>
        </w:rPr>
        <w:t>About Research Topic</w:t>
      </w:r>
    </w:p>
    <w:p w14:paraId="13536FEF" w14:textId="77777777" w:rsidR="00B94AEB" w:rsidRDefault="00E444C7" w:rsidP="00B94AEB">
      <w:pPr>
        <w:jc w:val="both"/>
        <w:rPr>
          <w:rFonts w:asciiTheme="majorBidi" w:hAnsiTheme="majorBidi" w:cstheme="majorBidi"/>
          <w:sz w:val="20"/>
          <w:szCs w:val="20"/>
        </w:rPr>
      </w:pPr>
      <w:r w:rsidRPr="00B94AEB">
        <w:rPr>
          <w:rFonts w:asciiTheme="majorBidi" w:hAnsiTheme="majorBidi" w:cstheme="majorBidi"/>
          <w:sz w:val="20"/>
          <w:szCs w:val="20"/>
        </w:rPr>
        <w:t xml:space="preserve">Oral fungal infections are an important aspect of dental health, with opportunistic yeasts such as </w:t>
      </w:r>
      <w:r w:rsidRPr="00B94AEB">
        <w:rPr>
          <w:rFonts w:asciiTheme="majorBidi" w:hAnsiTheme="majorBidi" w:cstheme="majorBidi"/>
          <w:i/>
          <w:iCs/>
          <w:sz w:val="20"/>
          <w:szCs w:val="20"/>
        </w:rPr>
        <w:t>C</w:t>
      </w:r>
      <w:r w:rsidR="00195CDA" w:rsidRPr="00B94AEB">
        <w:rPr>
          <w:rFonts w:asciiTheme="majorBidi" w:hAnsiTheme="majorBidi" w:cstheme="majorBidi"/>
          <w:i/>
          <w:iCs/>
          <w:sz w:val="20"/>
          <w:szCs w:val="20"/>
        </w:rPr>
        <w:t>.</w:t>
      </w:r>
      <w:r w:rsidRPr="00B94AEB">
        <w:rPr>
          <w:rFonts w:asciiTheme="majorBidi" w:hAnsiTheme="majorBidi" w:cstheme="majorBidi"/>
          <w:i/>
          <w:iCs/>
          <w:sz w:val="20"/>
          <w:szCs w:val="20"/>
        </w:rPr>
        <w:t xml:space="preserve"> tropicalis</w:t>
      </w:r>
      <w:r w:rsidRPr="00B94AEB">
        <w:rPr>
          <w:rFonts w:asciiTheme="majorBidi" w:hAnsiTheme="majorBidi" w:cstheme="majorBidi"/>
          <w:sz w:val="20"/>
          <w:szCs w:val="20"/>
        </w:rPr>
        <w:t xml:space="preserve"> and </w:t>
      </w:r>
      <w:r w:rsidRPr="00B94AEB">
        <w:rPr>
          <w:rFonts w:asciiTheme="majorBidi" w:hAnsiTheme="majorBidi" w:cstheme="majorBidi"/>
          <w:i/>
          <w:iCs/>
          <w:sz w:val="20"/>
          <w:szCs w:val="20"/>
        </w:rPr>
        <w:t>R</w:t>
      </w:r>
      <w:r w:rsidR="00195CDA" w:rsidRPr="00B94AEB">
        <w:rPr>
          <w:rFonts w:asciiTheme="majorBidi" w:hAnsiTheme="majorBidi" w:cstheme="majorBidi"/>
          <w:i/>
          <w:iCs/>
          <w:sz w:val="20"/>
          <w:szCs w:val="20"/>
        </w:rPr>
        <w:t>.</w:t>
      </w:r>
      <w:r w:rsidRPr="00B94AEB">
        <w:rPr>
          <w:rFonts w:asciiTheme="majorBidi" w:hAnsiTheme="majorBidi" w:cstheme="majorBidi"/>
          <w:i/>
          <w:iCs/>
          <w:sz w:val="20"/>
          <w:szCs w:val="20"/>
        </w:rPr>
        <w:t xml:space="preserve"> </w:t>
      </w:r>
      <w:proofErr w:type="spellStart"/>
      <w:r w:rsidRPr="00B94AEB">
        <w:rPr>
          <w:rFonts w:asciiTheme="majorBidi" w:hAnsiTheme="majorBidi" w:cstheme="majorBidi"/>
          <w:i/>
          <w:iCs/>
          <w:sz w:val="20"/>
          <w:szCs w:val="20"/>
        </w:rPr>
        <w:t>mucilaginosa</w:t>
      </w:r>
      <w:proofErr w:type="spellEnd"/>
      <w:r w:rsidRPr="00B94AEB">
        <w:rPr>
          <w:rFonts w:asciiTheme="majorBidi" w:hAnsiTheme="majorBidi" w:cstheme="majorBidi"/>
          <w:sz w:val="20"/>
          <w:szCs w:val="20"/>
        </w:rPr>
        <w:t xml:space="preserve"> frequently associated with oral colonization. Accurate identification of these fungi is essential for proper diagnosis and treatment. Culture media like SDA and PDA are widely used for fungal isolation, though their efficiency may vary. Traditional morphological identification can be limited due to similarities among species, making molecular methods such as ITS sequencing more reliable. Integrating both approaches enhances accuracy in fungal detection. Understanding the distribution of oral fungi contributes to improved prevention, diagnosis, and management of infections, supporting better dental health and overall well-being.</w:t>
      </w:r>
    </w:p>
    <w:p w14:paraId="56C8B376" w14:textId="77777777" w:rsidR="009B2290" w:rsidRPr="009B2290" w:rsidRDefault="00B94AEB" w:rsidP="00B928F7">
      <w:pPr>
        <w:pStyle w:val="NoSpacing"/>
        <w:rPr>
          <w:rFonts w:asciiTheme="majorBidi" w:hAnsiTheme="majorBidi" w:cstheme="majorBidi"/>
          <w:b/>
          <w:bCs/>
          <w:sz w:val="20"/>
          <w:szCs w:val="20"/>
        </w:rPr>
      </w:pPr>
      <w:r w:rsidRPr="009B2290">
        <w:rPr>
          <w:rFonts w:asciiTheme="majorBidi" w:hAnsiTheme="majorBidi" w:cstheme="majorBidi"/>
          <w:b/>
          <w:bCs/>
          <w:sz w:val="20"/>
          <w:szCs w:val="20"/>
        </w:rPr>
        <w:t>About Institution</w:t>
      </w:r>
    </w:p>
    <w:p w14:paraId="059645B6" w14:textId="1D2CB281" w:rsidR="00B94AEB" w:rsidRPr="00B94AEB" w:rsidRDefault="00B94AEB" w:rsidP="009B2290">
      <w:pPr>
        <w:pStyle w:val="NoSpacing"/>
        <w:jc w:val="both"/>
        <w:rPr>
          <w:rFonts w:asciiTheme="majorBidi" w:hAnsiTheme="majorBidi" w:cstheme="majorBidi"/>
          <w:sz w:val="20"/>
          <w:szCs w:val="20"/>
        </w:rPr>
      </w:pPr>
      <w:r w:rsidRPr="00B94AEB">
        <w:br/>
      </w:r>
      <w:r w:rsidRPr="00B94AEB">
        <w:rPr>
          <w:rFonts w:asciiTheme="majorBidi" w:hAnsiTheme="majorBidi" w:cstheme="majorBidi"/>
          <w:sz w:val="20"/>
          <w:szCs w:val="20"/>
        </w:rPr>
        <w:t>King Abdulaziz University (KAU), located in Jeddah, Saudi Arabia, is a leading public research institution recognized for its excellence in education, scientific research, and innovation. The Biological Sciences Department, within the Faculty of Science, supports advanced research in microbiology, mycology, and biotechnology. KAU promotes interdisciplinary collaboration and is affiliated with national and international research programs. The university provides state-of-the-art laboratories and facilities that support both teaching and research activities. Through its strong emphasis on scientific development and community engagement, KAU contributes significantly to advancing knowledge in life sciences and addressing regional and global health and environmental challenges.</w:t>
      </w:r>
    </w:p>
    <w:p w14:paraId="775CC6DF" w14:textId="77777777" w:rsidR="0065302C" w:rsidRDefault="0065302C" w:rsidP="0065302C">
      <w:pPr>
        <w:jc w:val="both"/>
        <w:rPr>
          <w:rFonts w:asciiTheme="majorBidi" w:hAnsiTheme="majorBidi" w:cstheme="majorBidi"/>
          <w:sz w:val="20"/>
          <w:szCs w:val="20"/>
        </w:rPr>
      </w:pPr>
    </w:p>
    <w:p w14:paraId="0285E460" w14:textId="17201E90" w:rsidR="000D1BEE" w:rsidRDefault="000D1BEE" w:rsidP="000D1BEE">
      <w:pPr>
        <w:jc w:val="both"/>
        <w:rPr>
          <w:rFonts w:asciiTheme="majorBidi" w:hAnsiTheme="majorBidi" w:cstheme="majorBidi"/>
          <w:b/>
          <w:bCs/>
          <w:sz w:val="20"/>
          <w:szCs w:val="20"/>
        </w:rPr>
      </w:pPr>
      <w:r w:rsidRPr="000D1BEE">
        <w:rPr>
          <w:rFonts w:asciiTheme="majorBidi" w:hAnsiTheme="majorBidi" w:cstheme="majorBidi"/>
          <w:b/>
          <w:bCs/>
          <w:sz w:val="20"/>
          <w:szCs w:val="20"/>
        </w:rPr>
        <w:t>References</w:t>
      </w:r>
      <w:r>
        <w:rPr>
          <w:rFonts w:asciiTheme="majorBidi" w:hAnsiTheme="majorBidi" w:cstheme="majorBidi"/>
          <w:b/>
          <w:bCs/>
          <w:sz w:val="20"/>
          <w:szCs w:val="20"/>
        </w:rPr>
        <w:t>:</w:t>
      </w:r>
    </w:p>
    <w:p w14:paraId="6125F61E" w14:textId="39024238" w:rsidR="00AA1284" w:rsidRPr="00AA1284" w:rsidRDefault="00AA1284" w:rsidP="000D1BEE">
      <w:pPr>
        <w:jc w:val="both"/>
        <w:rPr>
          <w:rFonts w:asciiTheme="majorBidi" w:hAnsiTheme="majorBidi" w:cstheme="majorBidi"/>
          <w:sz w:val="20"/>
          <w:szCs w:val="20"/>
        </w:rPr>
      </w:pPr>
      <w:r w:rsidRPr="00AA1284">
        <w:rPr>
          <w:rFonts w:asciiTheme="majorBidi" w:hAnsiTheme="majorBidi" w:cstheme="majorBidi"/>
          <w:sz w:val="20"/>
          <w:szCs w:val="20"/>
        </w:rPr>
        <w:t xml:space="preserve">De Hoog, G.S., </w:t>
      </w:r>
      <w:proofErr w:type="spellStart"/>
      <w:r w:rsidRPr="00AA1284">
        <w:rPr>
          <w:rFonts w:asciiTheme="majorBidi" w:hAnsiTheme="majorBidi" w:cstheme="majorBidi"/>
          <w:sz w:val="20"/>
          <w:szCs w:val="20"/>
        </w:rPr>
        <w:t>Guarro</w:t>
      </w:r>
      <w:proofErr w:type="spellEnd"/>
      <w:r w:rsidRPr="00AA1284">
        <w:rPr>
          <w:rFonts w:asciiTheme="majorBidi" w:hAnsiTheme="majorBidi" w:cstheme="majorBidi"/>
          <w:sz w:val="20"/>
          <w:szCs w:val="20"/>
        </w:rPr>
        <w:t xml:space="preserve">, J., </w:t>
      </w:r>
      <w:proofErr w:type="spellStart"/>
      <w:r w:rsidRPr="00AA1284">
        <w:rPr>
          <w:rFonts w:asciiTheme="majorBidi" w:hAnsiTheme="majorBidi" w:cstheme="majorBidi"/>
          <w:sz w:val="20"/>
          <w:szCs w:val="20"/>
        </w:rPr>
        <w:t>Gené</w:t>
      </w:r>
      <w:proofErr w:type="spellEnd"/>
      <w:r w:rsidRPr="00AA1284">
        <w:rPr>
          <w:rFonts w:asciiTheme="majorBidi" w:hAnsiTheme="majorBidi" w:cstheme="majorBidi"/>
          <w:sz w:val="20"/>
          <w:szCs w:val="20"/>
        </w:rPr>
        <w:t xml:space="preserve">, J. and Figueras, M.J. (2019). Atlas of Clinical Fungi. 4th ed. Utrecht, The Netherlands: </w:t>
      </w:r>
      <w:proofErr w:type="spellStart"/>
      <w:r w:rsidRPr="00AA1284">
        <w:rPr>
          <w:rFonts w:asciiTheme="majorBidi" w:hAnsiTheme="majorBidi" w:cstheme="majorBidi"/>
          <w:sz w:val="20"/>
          <w:szCs w:val="20"/>
        </w:rPr>
        <w:t>Westerdijk</w:t>
      </w:r>
      <w:proofErr w:type="spellEnd"/>
      <w:r w:rsidRPr="00AA1284">
        <w:rPr>
          <w:rFonts w:asciiTheme="majorBidi" w:hAnsiTheme="majorBidi" w:cstheme="majorBidi"/>
          <w:sz w:val="20"/>
          <w:szCs w:val="20"/>
        </w:rPr>
        <w:t xml:space="preserve"> Institute.</w:t>
      </w:r>
    </w:p>
    <w:p w14:paraId="7DE7CBCF" w14:textId="4082B2DE" w:rsidR="00F929A1" w:rsidRPr="00732611" w:rsidRDefault="00F929A1" w:rsidP="00732611">
      <w:pPr>
        <w:jc w:val="both"/>
        <w:rPr>
          <w:rFonts w:asciiTheme="majorBidi" w:hAnsiTheme="majorBidi" w:cstheme="majorBidi"/>
          <w:sz w:val="20"/>
          <w:szCs w:val="20"/>
        </w:rPr>
      </w:pPr>
      <w:r w:rsidRPr="00732611">
        <w:rPr>
          <w:rFonts w:asciiTheme="majorBidi" w:hAnsiTheme="majorBidi" w:cstheme="majorBidi"/>
          <w:sz w:val="20"/>
          <w:szCs w:val="20"/>
        </w:rPr>
        <w:t>John Pouris, Konstantinos Konstantinidis, Ioanna Pyrri, Effie G. Papageorgiou, and Chrysa Voyiatzaki, “</w:t>
      </w:r>
      <w:proofErr w:type="spellStart"/>
      <w:r w:rsidRPr="00732611">
        <w:rPr>
          <w:rFonts w:asciiTheme="majorBidi" w:hAnsiTheme="majorBidi" w:cstheme="majorBidi"/>
          <w:sz w:val="20"/>
          <w:szCs w:val="20"/>
        </w:rPr>
        <w:t>FungID</w:t>
      </w:r>
      <w:proofErr w:type="spellEnd"/>
      <w:r w:rsidRPr="00732611">
        <w:rPr>
          <w:rFonts w:asciiTheme="majorBidi" w:hAnsiTheme="majorBidi" w:cstheme="majorBidi"/>
          <w:sz w:val="20"/>
          <w:szCs w:val="20"/>
        </w:rPr>
        <w:t xml:space="preserve">: Innovative Fungi Identification Method with Chromogenic Profiling of Colony Color Patterns,” </w:t>
      </w:r>
      <w:r w:rsidRPr="00732611">
        <w:rPr>
          <w:rFonts w:asciiTheme="majorBidi" w:hAnsiTheme="majorBidi" w:cstheme="majorBidi"/>
          <w:i/>
          <w:iCs/>
          <w:sz w:val="20"/>
          <w:szCs w:val="20"/>
        </w:rPr>
        <w:t>Pathogens</w:t>
      </w:r>
      <w:r w:rsidRPr="00732611">
        <w:rPr>
          <w:rFonts w:asciiTheme="majorBidi" w:hAnsiTheme="majorBidi" w:cstheme="majorBidi"/>
          <w:sz w:val="20"/>
          <w:szCs w:val="20"/>
        </w:rPr>
        <w:t>, vol. 14, no. 3 (2025), p. 242,</w:t>
      </w:r>
    </w:p>
    <w:p w14:paraId="0224107C" w14:textId="2141D5EB" w:rsidR="00377725" w:rsidRPr="00732611" w:rsidRDefault="00C04D93" w:rsidP="00732611">
      <w:pPr>
        <w:jc w:val="both"/>
        <w:rPr>
          <w:rFonts w:asciiTheme="majorBidi" w:hAnsiTheme="majorBidi" w:cstheme="majorBidi"/>
          <w:sz w:val="20"/>
          <w:szCs w:val="20"/>
        </w:rPr>
      </w:pPr>
      <w:r w:rsidRPr="00732611">
        <w:rPr>
          <w:rFonts w:asciiTheme="majorBidi" w:hAnsiTheme="majorBidi" w:cstheme="majorBidi"/>
          <w:sz w:val="20"/>
          <w:szCs w:val="20"/>
        </w:rPr>
        <w:t xml:space="preserve">İrem Mutlu and Duygu Kadai̇fçi̇ler, “Fungal Inhabitants of Deteriorated Historical Manuscripts at Istanbul University’s Virtual Library: Comparative Sampling and Media Assessments,” </w:t>
      </w:r>
      <w:r w:rsidRPr="00732611">
        <w:rPr>
          <w:rFonts w:asciiTheme="majorBidi" w:hAnsiTheme="majorBidi" w:cstheme="majorBidi"/>
          <w:i/>
          <w:iCs/>
          <w:sz w:val="20"/>
          <w:szCs w:val="20"/>
        </w:rPr>
        <w:t>Gazi University Journal of Science</w:t>
      </w:r>
      <w:r w:rsidRPr="00732611">
        <w:rPr>
          <w:rFonts w:asciiTheme="majorBidi" w:hAnsiTheme="majorBidi" w:cstheme="majorBidi"/>
          <w:sz w:val="20"/>
          <w:szCs w:val="20"/>
        </w:rPr>
        <w:t xml:space="preserve"> (2026)</w:t>
      </w:r>
      <w:r w:rsidR="00B43BEF" w:rsidRPr="00732611">
        <w:rPr>
          <w:rFonts w:asciiTheme="majorBidi" w:hAnsiTheme="majorBidi" w:cstheme="majorBidi"/>
          <w:sz w:val="20"/>
          <w:szCs w:val="20"/>
        </w:rPr>
        <w:t>, p. 41-47.</w:t>
      </w:r>
    </w:p>
    <w:p w14:paraId="16AE32EB" w14:textId="77777777" w:rsidR="00112AA6" w:rsidRPr="00732611" w:rsidRDefault="00112AA6" w:rsidP="00732611">
      <w:pPr>
        <w:jc w:val="both"/>
        <w:rPr>
          <w:rFonts w:asciiTheme="majorBidi" w:hAnsiTheme="majorBidi" w:cstheme="majorBidi"/>
          <w:sz w:val="20"/>
          <w:szCs w:val="20"/>
        </w:rPr>
      </w:pPr>
      <w:r w:rsidRPr="00732611">
        <w:rPr>
          <w:rFonts w:asciiTheme="majorBidi" w:hAnsiTheme="majorBidi" w:cstheme="majorBidi"/>
          <w:sz w:val="20"/>
          <w:szCs w:val="20"/>
        </w:rPr>
        <w:t xml:space="preserve">Daniela Ehgartner, Christoph Herwig, and Jens Fricke, “Morphological Analysis of the Filamentous Fungus </w:t>
      </w:r>
      <w:r w:rsidRPr="00732611">
        <w:rPr>
          <w:rFonts w:asciiTheme="majorBidi" w:hAnsiTheme="majorBidi" w:cstheme="majorBidi"/>
          <w:i/>
          <w:iCs/>
          <w:sz w:val="20"/>
          <w:szCs w:val="20"/>
        </w:rPr>
        <w:t>Penicillium chrysogenum</w:t>
      </w:r>
      <w:r w:rsidRPr="00732611">
        <w:rPr>
          <w:rFonts w:asciiTheme="majorBidi" w:hAnsiTheme="majorBidi" w:cstheme="majorBidi"/>
          <w:sz w:val="20"/>
          <w:szCs w:val="20"/>
        </w:rPr>
        <w:t xml:space="preserve"> Using Flow Cytometry—the Fast Alternative to Microscopic Image Analysis,” </w:t>
      </w:r>
      <w:r w:rsidRPr="00732611">
        <w:rPr>
          <w:rFonts w:asciiTheme="majorBidi" w:hAnsiTheme="majorBidi" w:cstheme="majorBidi"/>
          <w:i/>
          <w:iCs/>
          <w:sz w:val="20"/>
          <w:szCs w:val="20"/>
        </w:rPr>
        <w:t>Applied Microbiology and Biotechnology</w:t>
      </w:r>
      <w:r w:rsidRPr="00732611">
        <w:rPr>
          <w:rFonts w:asciiTheme="majorBidi" w:hAnsiTheme="majorBidi" w:cstheme="majorBidi"/>
          <w:sz w:val="20"/>
          <w:szCs w:val="20"/>
        </w:rPr>
        <w:t>, vol. 101, no. 20 (2017), pp. 7675–7688</w:t>
      </w:r>
    </w:p>
    <w:p w14:paraId="41161BB5" w14:textId="77777777" w:rsidR="00732611" w:rsidRPr="00732611" w:rsidRDefault="00732611" w:rsidP="00732611">
      <w:pPr>
        <w:jc w:val="both"/>
        <w:rPr>
          <w:rFonts w:asciiTheme="majorBidi" w:hAnsiTheme="majorBidi" w:cstheme="majorBidi"/>
          <w:sz w:val="20"/>
          <w:szCs w:val="20"/>
        </w:rPr>
      </w:pPr>
      <w:r w:rsidRPr="00732611">
        <w:rPr>
          <w:rFonts w:asciiTheme="majorBidi" w:hAnsiTheme="majorBidi" w:cstheme="majorBidi"/>
          <w:sz w:val="20"/>
          <w:szCs w:val="20"/>
        </w:rPr>
        <w:t xml:space="preserve">Pritika Maji, Abhijit Ghosh, Amit Banik, and Atul Raj, “Comparison between Sabouraud Dextrose Agar (SDA) and Potato Dextrose Agar (PDA) with Banana Peel (BP) for Studying Fungi in the Air by Settle-Plate Method,” </w:t>
      </w:r>
      <w:r w:rsidRPr="00732611">
        <w:rPr>
          <w:rFonts w:asciiTheme="majorBidi" w:hAnsiTheme="majorBidi" w:cstheme="majorBidi"/>
          <w:i/>
          <w:iCs/>
          <w:sz w:val="20"/>
          <w:szCs w:val="20"/>
        </w:rPr>
        <w:t>International Journal of Scientific Development and Research (IJSDR)</w:t>
      </w:r>
      <w:r w:rsidRPr="00732611">
        <w:rPr>
          <w:rFonts w:asciiTheme="majorBidi" w:hAnsiTheme="majorBidi" w:cstheme="majorBidi"/>
          <w:sz w:val="20"/>
          <w:szCs w:val="20"/>
        </w:rPr>
        <w:t>, vol. 8, no. 7 (2023).</w:t>
      </w:r>
    </w:p>
    <w:p w14:paraId="7206C0C4" w14:textId="77777777" w:rsidR="00732611" w:rsidRPr="00732611" w:rsidRDefault="00732611" w:rsidP="00732611">
      <w:pPr>
        <w:jc w:val="both"/>
        <w:rPr>
          <w:rFonts w:asciiTheme="majorBidi" w:hAnsiTheme="majorBidi" w:cstheme="majorBidi"/>
          <w:sz w:val="20"/>
          <w:szCs w:val="20"/>
        </w:rPr>
      </w:pPr>
      <w:r w:rsidRPr="00732611">
        <w:rPr>
          <w:rFonts w:asciiTheme="majorBidi" w:hAnsiTheme="majorBidi" w:cstheme="majorBidi"/>
          <w:sz w:val="20"/>
          <w:szCs w:val="20"/>
        </w:rPr>
        <w:t>S. Kumar, et al., “MEGA X,” Molecular Biology and Evolution, vol. 35, no. 6 (2018), pp. 1547–1549.</w:t>
      </w:r>
    </w:p>
    <w:p w14:paraId="5D989196" w14:textId="766ECD2F" w:rsidR="00732611" w:rsidRPr="00732611" w:rsidRDefault="00732611" w:rsidP="00732611">
      <w:pPr>
        <w:jc w:val="both"/>
        <w:rPr>
          <w:rFonts w:asciiTheme="majorBidi" w:hAnsiTheme="majorBidi" w:cstheme="majorBidi"/>
          <w:sz w:val="20"/>
          <w:szCs w:val="20"/>
        </w:rPr>
      </w:pPr>
      <w:r w:rsidRPr="00732611">
        <w:rPr>
          <w:rFonts w:asciiTheme="majorBidi" w:hAnsiTheme="majorBidi" w:cstheme="majorBidi"/>
          <w:sz w:val="20"/>
          <w:szCs w:val="20"/>
        </w:rPr>
        <w:t xml:space="preserve">C. L. Schoch, et al., “ITS as Universal Fungal Barcode,” </w:t>
      </w:r>
      <w:r w:rsidRPr="00732611">
        <w:rPr>
          <w:rFonts w:asciiTheme="majorBidi" w:hAnsiTheme="majorBidi" w:cstheme="majorBidi"/>
          <w:i/>
          <w:iCs/>
          <w:sz w:val="20"/>
          <w:szCs w:val="20"/>
        </w:rPr>
        <w:t>Proceedings of the National Academy of Sciences (PNAS)</w:t>
      </w:r>
      <w:r w:rsidRPr="00732611">
        <w:rPr>
          <w:rFonts w:asciiTheme="majorBidi" w:hAnsiTheme="majorBidi" w:cstheme="majorBidi"/>
          <w:sz w:val="20"/>
          <w:szCs w:val="20"/>
        </w:rPr>
        <w:t>, vol. 109, no. 16 (2012), pp. 6241–6246.</w:t>
      </w:r>
    </w:p>
    <w:p w14:paraId="6526A5A9" w14:textId="77777777" w:rsidR="00112AA6" w:rsidRDefault="00112AA6" w:rsidP="00C04D93">
      <w:pPr>
        <w:jc w:val="both"/>
        <w:rPr>
          <w:rFonts w:asciiTheme="majorBidi" w:hAnsiTheme="majorBidi" w:cstheme="majorBidi"/>
          <w:sz w:val="20"/>
          <w:szCs w:val="20"/>
        </w:rPr>
      </w:pPr>
    </w:p>
    <w:p w14:paraId="3F78597F" w14:textId="77777777" w:rsidR="00B43BEF" w:rsidRDefault="00B43BEF" w:rsidP="00C04D93">
      <w:pPr>
        <w:jc w:val="both"/>
        <w:rPr>
          <w:rFonts w:asciiTheme="majorBidi" w:hAnsiTheme="majorBidi" w:cstheme="majorBidi"/>
          <w:sz w:val="20"/>
          <w:szCs w:val="20"/>
        </w:rPr>
      </w:pPr>
    </w:p>
    <w:p w14:paraId="4B4C1C00" w14:textId="77777777" w:rsidR="00AF3040" w:rsidRDefault="00AF3040" w:rsidP="00C04D93">
      <w:pPr>
        <w:jc w:val="both"/>
        <w:rPr>
          <w:rFonts w:asciiTheme="majorBidi" w:hAnsiTheme="majorBidi" w:cstheme="majorBidi"/>
          <w:sz w:val="20"/>
          <w:szCs w:val="20"/>
        </w:rPr>
      </w:pPr>
    </w:p>
    <w:p w14:paraId="0DA39671" w14:textId="77777777" w:rsidR="00AF3040" w:rsidRPr="00B43BEF" w:rsidRDefault="00AF3040" w:rsidP="00C04D93">
      <w:pPr>
        <w:jc w:val="both"/>
        <w:rPr>
          <w:rFonts w:asciiTheme="majorBidi" w:hAnsiTheme="majorBidi" w:cstheme="majorBidi"/>
          <w:sz w:val="20"/>
          <w:szCs w:val="20"/>
        </w:rPr>
      </w:pPr>
    </w:p>
    <w:p w14:paraId="24E633D7" w14:textId="77777777" w:rsidR="0059760E" w:rsidRDefault="0059760E" w:rsidP="00FE6DDA">
      <w:pPr>
        <w:pStyle w:val="NormalWeb"/>
        <w:spacing w:line="360" w:lineRule="auto"/>
        <w:ind w:firstLine="567"/>
        <w:jc w:val="both"/>
        <w:rPr>
          <w:rFonts w:asciiTheme="majorBidi" w:hAnsiTheme="majorBidi" w:cstheme="majorBidi"/>
          <w:b/>
          <w:bCs/>
        </w:rPr>
      </w:pPr>
    </w:p>
    <w:sectPr w:rsidR="0059760E" w:rsidSect="009A4BEE">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3"/>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4662"/>
    <w:rsid w:val="00077932"/>
    <w:rsid w:val="000B4C4F"/>
    <w:rsid w:val="000D1BEE"/>
    <w:rsid w:val="00112AA6"/>
    <w:rsid w:val="00163E7D"/>
    <w:rsid w:val="00195BEA"/>
    <w:rsid w:val="00195CDA"/>
    <w:rsid w:val="001B25D7"/>
    <w:rsid w:val="00250D98"/>
    <w:rsid w:val="00274FD6"/>
    <w:rsid w:val="00352D10"/>
    <w:rsid w:val="00377725"/>
    <w:rsid w:val="00461504"/>
    <w:rsid w:val="004A0240"/>
    <w:rsid w:val="005451F7"/>
    <w:rsid w:val="00555734"/>
    <w:rsid w:val="00595D40"/>
    <w:rsid w:val="0059760E"/>
    <w:rsid w:val="005A7BAA"/>
    <w:rsid w:val="00631906"/>
    <w:rsid w:val="00646CDB"/>
    <w:rsid w:val="0065302C"/>
    <w:rsid w:val="006B521F"/>
    <w:rsid w:val="006B7CF6"/>
    <w:rsid w:val="00732611"/>
    <w:rsid w:val="0076512C"/>
    <w:rsid w:val="009A2C4F"/>
    <w:rsid w:val="009A4BEE"/>
    <w:rsid w:val="009B2290"/>
    <w:rsid w:val="009F34F2"/>
    <w:rsid w:val="00A900BD"/>
    <w:rsid w:val="00AA1284"/>
    <w:rsid w:val="00AF3040"/>
    <w:rsid w:val="00B04662"/>
    <w:rsid w:val="00B43BEF"/>
    <w:rsid w:val="00B7531E"/>
    <w:rsid w:val="00B928F7"/>
    <w:rsid w:val="00B94AEB"/>
    <w:rsid w:val="00BD020F"/>
    <w:rsid w:val="00C04D93"/>
    <w:rsid w:val="00CD0363"/>
    <w:rsid w:val="00D94F6C"/>
    <w:rsid w:val="00DA286B"/>
    <w:rsid w:val="00DB4346"/>
    <w:rsid w:val="00E02543"/>
    <w:rsid w:val="00E444C7"/>
    <w:rsid w:val="00F929A1"/>
    <w:rsid w:val="00F9617E"/>
    <w:rsid w:val="00FA250D"/>
    <w:rsid w:val="00FE6DD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9C8C30"/>
  <w15:chartTrackingRefBased/>
  <w15:docId w15:val="{6810D6CD-6667-464F-B44A-D35676437F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4662"/>
    <w:pPr>
      <w:spacing w:line="278" w:lineRule="auto"/>
    </w:pPr>
    <w:rPr>
      <w:rFonts w:eastAsiaTheme="minorEastAsia"/>
      <w:sz w:val="24"/>
      <w:szCs w:val="24"/>
      <w:lang w:eastAsia="zh-CN"/>
    </w:rPr>
  </w:style>
  <w:style w:type="paragraph" w:styleId="Heading1">
    <w:name w:val="heading 1"/>
    <w:basedOn w:val="Normal"/>
    <w:next w:val="Normal"/>
    <w:link w:val="Heading1Char"/>
    <w:uiPriority w:val="9"/>
    <w:qFormat/>
    <w:rsid w:val="00B0466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0466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B0466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0466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0466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0466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0466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0466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0466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0466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0466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B0466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0466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0466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0466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0466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0466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04662"/>
    <w:rPr>
      <w:rFonts w:eastAsiaTheme="majorEastAsia" w:cstheme="majorBidi"/>
      <w:color w:val="272727" w:themeColor="text1" w:themeTint="D8"/>
    </w:rPr>
  </w:style>
  <w:style w:type="paragraph" w:styleId="Title">
    <w:name w:val="Title"/>
    <w:basedOn w:val="Normal"/>
    <w:next w:val="Normal"/>
    <w:link w:val="TitleChar"/>
    <w:uiPriority w:val="10"/>
    <w:qFormat/>
    <w:rsid w:val="00B0466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0466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0466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0466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04662"/>
    <w:pPr>
      <w:spacing w:before="160"/>
      <w:jc w:val="center"/>
    </w:pPr>
    <w:rPr>
      <w:i/>
      <w:iCs/>
      <w:color w:val="404040" w:themeColor="text1" w:themeTint="BF"/>
    </w:rPr>
  </w:style>
  <w:style w:type="character" w:customStyle="1" w:styleId="QuoteChar">
    <w:name w:val="Quote Char"/>
    <w:basedOn w:val="DefaultParagraphFont"/>
    <w:link w:val="Quote"/>
    <w:uiPriority w:val="29"/>
    <w:rsid w:val="00B04662"/>
    <w:rPr>
      <w:i/>
      <w:iCs/>
      <w:color w:val="404040" w:themeColor="text1" w:themeTint="BF"/>
    </w:rPr>
  </w:style>
  <w:style w:type="paragraph" w:styleId="ListParagraph">
    <w:name w:val="List Paragraph"/>
    <w:basedOn w:val="Normal"/>
    <w:uiPriority w:val="34"/>
    <w:qFormat/>
    <w:rsid w:val="00B04662"/>
    <w:pPr>
      <w:ind w:left="720"/>
      <w:contextualSpacing/>
    </w:pPr>
  </w:style>
  <w:style w:type="character" w:styleId="IntenseEmphasis">
    <w:name w:val="Intense Emphasis"/>
    <w:basedOn w:val="DefaultParagraphFont"/>
    <w:uiPriority w:val="21"/>
    <w:qFormat/>
    <w:rsid w:val="00B04662"/>
    <w:rPr>
      <w:i/>
      <w:iCs/>
      <w:color w:val="2F5496" w:themeColor="accent1" w:themeShade="BF"/>
    </w:rPr>
  </w:style>
  <w:style w:type="paragraph" w:styleId="IntenseQuote">
    <w:name w:val="Intense Quote"/>
    <w:basedOn w:val="Normal"/>
    <w:next w:val="Normal"/>
    <w:link w:val="IntenseQuoteChar"/>
    <w:uiPriority w:val="30"/>
    <w:qFormat/>
    <w:rsid w:val="00B0466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04662"/>
    <w:rPr>
      <w:i/>
      <w:iCs/>
      <w:color w:val="2F5496" w:themeColor="accent1" w:themeShade="BF"/>
    </w:rPr>
  </w:style>
  <w:style w:type="character" w:styleId="IntenseReference">
    <w:name w:val="Intense Reference"/>
    <w:basedOn w:val="DefaultParagraphFont"/>
    <w:uiPriority w:val="32"/>
    <w:qFormat/>
    <w:rsid w:val="00B04662"/>
    <w:rPr>
      <w:b/>
      <w:bCs/>
      <w:smallCaps/>
      <w:color w:val="2F5496" w:themeColor="accent1" w:themeShade="BF"/>
      <w:spacing w:val="5"/>
    </w:rPr>
  </w:style>
  <w:style w:type="table" w:styleId="PlainTable2">
    <w:name w:val="Plain Table 2"/>
    <w:basedOn w:val="TableNormal"/>
    <w:uiPriority w:val="42"/>
    <w:rsid w:val="00B04662"/>
    <w:pPr>
      <w:spacing w:after="0" w:line="240" w:lineRule="auto"/>
    </w:pPr>
    <w:rPr>
      <w:sz w:val="24"/>
      <w:szCs w:val="24"/>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NormalWeb">
    <w:name w:val="Normal (Web)"/>
    <w:basedOn w:val="Normal"/>
    <w:uiPriority w:val="99"/>
    <w:unhideWhenUsed/>
    <w:rsid w:val="00FE6DDA"/>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Hyperlink">
    <w:name w:val="Hyperlink"/>
    <w:basedOn w:val="DefaultParagraphFont"/>
    <w:uiPriority w:val="99"/>
    <w:unhideWhenUsed/>
    <w:rsid w:val="00B7531E"/>
    <w:rPr>
      <w:color w:val="0000FF"/>
      <w:u w:val="single"/>
    </w:rPr>
  </w:style>
  <w:style w:type="paragraph" w:styleId="Caption">
    <w:name w:val="caption"/>
    <w:basedOn w:val="Normal"/>
    <w:next w:val="Normal"/>
    <w:uiPriority w:val="35"/>
    <w:unhideWhenUsed/>
    <w:qFormat/>
    <w:rsid w:val="00461504"/>
    <w:pPr>
      <w:spacing w:after="200" w:line="240" w:lineRule="auto"/>
    </w:pPr>
    <w:rPr>
      <w:i/>
      <w:iCs/>
      <w:color w:val="44546A" w:themeColor="text2"/>
      <w:sz w:val="18"/>
      <w:szCs w:val="18"/>
    </w:rPr>
  </w:style>
  <w:style w:type="paragraph" w:styleId="NoSpacing">
    <w:name w:val="No Spacing"/>
    <w:uiPriority w:val="1"/>
    <w:qFormat/>
    <w:rsid w:val="00F9617E"/>
    <w:pPr>
      <w:spacing w:after="0" w:line="240" w:lineRule="auto"/>
    </w:pPr>
    <w:rPr>
      <w:rFonts w:eastAsiaTheme="minorEastAsia"/>
      <w:sz w:val="24"/>
      <w:szCs w:val="24"/>
      <w:lang w:eastAsia="zh-CN"/>
    </w:rPr>
  </w:style>
  <w:style w:type="character" w:styleId="UnresolvedMention">
    <w:name w:val="Unresolved Mention"/>
    <w:basedOn w:val="DefaultParagraphFont"/>
    <w:uiPriority w:val="99"/>
    <w:semiHidden/>
    <w:unhideWhenUsed/>
    <w:rsid w:val="00F929A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png"/></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91</TotalTime>
  <Pages>3</Pages>
  <Words>994</Words>
  <Characters>5672</Characters>
  <Application>Microsoft Office Word</Application>
  <DocSecurity>0</DocSecurity>
  <Lines>47</Lines>
  <Paragraphs>13</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        Morphological identification of fungi</vt:lpstr>
    </vt:vector>
  </TitlesOfParts>
  <Company/>
  <LinksUpToDate>false</LinksUpToDate>
  <CharactersWithSpaces>6653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Azhar najjar</dc:creator>
  <cp:keywords/>
  <dc:description/>
  <cp:lastModifiedBy>Azhar najjar</cp:lastModifiedBy>
  <cp:revision>41</cp:revision>
  <dcterms:created xsi:type="dcterms:W3CDTF">2026-05-04T11:48:00Z</dcterms:created>
  <dcterms:modified xsi:type="dcterms:W3CDTF">2026-05-06T11:34:00Z</dcterms:modified>
</cp:coreProperties>
</file>