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E9AA5" w14:textId="619F91E2" w:rsidR="00AE3E37" w:rsidRDefault="00E27293" w:rsidP="00494130">
      <w:pPr>
        <w:pStyle w:val="Heading1"/>
        <w:spacing w:before="170"/>
        <w:ind w:left="0"/>
      </w:pPr>
      <w:r w:rsidRPr="00E27293">
        <w:rPr>
          <w:color w:val="337AB7"/>
        </w:rPr>
        <w:t>Challenges related to direct filling with composite resin restorations among Finnish dentists</w:t>
      </w:r>
    </w:p>
    <w:p w14:paraId="23B80A39" w14:textId="77777777" w:rsidR="00E27293" w:rsidRPr="00E27293" w:rsidRDefault="00E27293" w:rsidP="00E27293">
      <w:pPr>
        <w:spacing w:line="276" w:lineRule="auto"/>
        <w:rPr>
          <w:sz w:val="20"/>
          <w:szCs w:val="20"/>
          <w:lang w:val="fi-FI"/>
        </w:rPr>
      </w:pPr>
      <w:r w:rsidRPr="00E27293">
        <w:rPr>
          <w:sz w:val="20"/>
          <w:szCs w:val="20"/>
          <w:lang w:val="fi-FI"/>
        </w:rPr>
        <w:t>Pirkko-Liisa Tarvonen</w:t>
      </w:r>
      <w:r w:rsidRPr="00E27293">
        <w:rPr>
          <w:sz w:val="20"/>
          <w:szCs w:val="20"/>
          <w:vertAlign w:val="superscript"/>
          <w:lang w:val="fi-FI"/>
        </w:rPr>
        <w:t>1,2</w:t>
      </w:r>
      <w:r w:rsidRPr="00E27293">
        <w:rPr>
          <w:sz w:val="20"/>
          <w:szCs w:val="20"/>
          <w:lang w:val="fi-FI"/>
        </w:rPr>
        <w:t>, Pekka Ahlholm</w:t>
      </w:r>
      <w:r w:rsidRPr="00E27293">
        <w:rPr>
          <w:sz w:val="20"/>
          <w:szCs w:val="20"/>
          <w:vertAlign w:val="superscript"/>
          <w:lang w:val="fi-FI"/>
        </w:rPr>
        <w:t>1</w:t>
      </w:r>
      <w:r w:rsidRPr="00E27293">
        <w:rPr>
          <w:sz w:val="20"/>
          <w:szCs w:val="20"/>
          <w:lang w:val="fi-FI"/>
        </w:rPr>
        <w:t>, Joonatan Lappalainen</w:t>
      </w:r>
      <w:r w:rsidRPr="00E27293">
        <w:rPr>
          <w:sz w:val="20"/>
          <w:szCs w:val="20"/>
          <w:vertAlign w:val="superscript"/>
          <w:lang w:val="fi-FI"/>
        </w:rPr>
        <w:t>3</w:t>
      </w:r>
      <w:r w:rsidRPr="00E27293">
        <w:rPr>
          <w:sz w:val="20"/>
          <w:szCs w:val="20"/>
          <w:lang w:val="fi-FI"/>
        </w:rPr>
        <w:t>, Reijo Lappalainen</w:t>
      </w:r>
      <w:r w:rsidRPr="00E27293">
        <w:rPr>
          <w:sz w:val="20"/>
          <w:szCs w:val="20"/>
          <w:vertAlign w:val="superscript"/>
          <w:lang w:val="fi-FI"/>
        </w:rPr>
        <w:t>3</w:t>
      </w:r>
      <w:r w:rsidRPr="00E27293">
        <w:rPr>
          <w:sz w:val="20"/>
          <w:szCs w:val="20"/>
          <w:lang w:val="fi-FI"/>
        </w:rPr>
        <w:t>, Kirsi Sipilä</w:t>
      </w:r>
      <w:r w:rsidRPr="00E27293">
        <w:rPr>
          <w:sz w:val="20"/>
          <w:szCs w:val="20"/>
          <w:vertAlign w:val="superscript"/>
          <w:lang w:val="fi-FI"/>
        </w:rPr>
        <w:t>4,5</w:t>
      </w:r>
    </w:p>
    <w:p w14:paraId="79793DE9" w14:textId="77777777" w:rsidR="00E27293" w:rsidRDefault="00E27293" w:rsidP="00E27293">
      <w:pPr>
        <w:spacing w:line="276" w:lineRule="auto"/>
        <w:rPr>
          <w:sz w:val="20"/>
          <w:szCs w:val="20"/>
          <w:vertAlign w:val="superscript"/>
          <w:lang w:val="en-GB"/>
        </w:rPr>
      </w:pPr>
    </w:p>
    <w:p w14:paraId="3677EE04" w14:textId="1BD5F087" w:rsidR="00E27293" w:rsidRPr="00E27293" w:rsidRDefault="00E27293" w:rsidP="00E27293">
      <w:pPr>
        <w:spacing w:line="276" w:lineRule="auto"/>
        <w:rPr>
          <w:i/>
          <w:sz w:val="20"/>
          <w:szCs w:val="20"/>
        </w:rPr>
      </w:pPr>
      <w:r w:rsidRPr="00E27293">
        <w:rPr>
          <w:sz w:val="20"/>
          <w:szCs w:val="20"/>
          <w:vertAlign w:val="superscript"/>
          <w:lang w:val="en-GB"/>
        </w:rPr>
        <w:t>1</w:t>
      </w:r>
      <w:r w:rsidRPr="00E27293">
        <w:rPr>
          <w:i/>
          <w:sz w:val="20"/>
          <w:szCs w:val="20"/>
        </w:rPr>
        <w:t xml:space="preserve">Institute of Dentistry, University of Eastern Finland, Kuopio, Finland </w:t>
      </w:r>
    </w:p>
    <w:p w14:paraId="31F2DB48" w14:textId="77777777" w:rsidR="00E27293" w:rsidRPr="00E27293" w:rsidRDefault="00E27293" w:rsidP="00E27293">
      <w:pPr>
        <w:rPr>
          <w:i/>
          <w:sz w:val="20"/>
          <w:szCs w:val="20"/>
        </w:rPr>
      </w:pPr>
      <w:r w:rsidRPr="00E27293">
        <w:rPr>
          <w:i/>
          <w:sz w:val="20"/>
          <w:szCs w:val="20"/>
          <w:vertAlign w:val="superscript"/>
          <w:lang w:val="en-GB"/>
        </w:rPr>
        <w:t>2</w:t>
      </w:r>
      <w:r w:rsidRPr="00E27293">
        <w:rPr>
          <w:i/>
          <w:sz w:val="20"/>
          <w:szCs w:val="20"/>
        </w:rPr>
        <w:t xml:space="preserve">Department of Oral and Maxillofacial Diseases, </w:t>
      </w:r>
      <w:proofErr w:type="spellStart"/>
      <w:r w:rsidRPr="00E27293">
        <w:rPr>
          <w:i/>
          <w:sz w:val="20"/>
          <w:szCs w:val="20"/>
        </w:rPr>
        <w:t>Clinicum</w:t>
      </w:r>
      <w:proofErr w:type="spellEnd"/>
      <w:r w:rsidRPr="00E27293">
        <w:rPr>
          <w:i/>
          <w:sz w:val="20"/>
          <w:szCs w:val="20"/>
        </w:rPr>
        <w:t>, Faculty of Medicine, University of Helsinki, Helsinki, Finland</w:t>
      </w:r>
    </w:p>
    <w:p w14:paraId="4CD32C1A" w14:textId="77777777" w:rsidR="00E27293" w:rsidRPr="00E27293" w:rsidRDefault="00E27293" w:rsidP="00E27293">
      <w:pPr>
        <w:spacing w:line="276" w:lineRule="auto"/>
        <w:rPr>
          <w:i/>
          <w:sz w:val="20"/>
          <w:szCs w:val="20"/>
          <w:lang w:val="en-GB"/>
        </w:rPr>
      </w:pPr>
      <w:r w:rsidRPr="00E27293">
        <w:rPr>
          <w:i/>
          <w:sz w:val="20"/>
          <w:szCs w:val="20"/>
          <w:vertAlign w:val="superscript"/>
          <w:lang w:val="en-GB"/>
        </w:rPr>
        <w:t>3</w:t>
      </w:r>
      <w:r w:rsidRPr="00E27293">
        <w:rPr>
          <w:i/>
          <w:sz w:val="20"/>
          <w:szCs w:val="20"/>
          <w:lang w:val="en-GB"/>
        </w:rPr>
        <w:t>Dept. of Applied Physics &amp; SIB Labs, University of Eastern Finland, Kuopio, Finland</w:t>
      </w:r>
    </w:p>
    <w:p w14:paraId="5C4FBE35" w14:textId="77777777" w:rsidR="00E27293" w:rsidRPr="00E27293" w:rsidRDefault="00E27293" w:rsidP="00E27293">
      <w:pPr>
        <w:spacing w:line="276" w:lineRule="auto"/>
        <w:rPr>
          <w:i/>
          <w:sz w:val="20"/>
          <w:szCs w:val="20"/>
          <w:lang w:val="en-GB"/>
        </w:rPr>
      </w:pPr>
      <w:r w:rsidRPr="00E27293">
        <w:rPr>
          <w:i/>
          <w:sz w:val="20"/>
          <w:szCs w:val="20"/>
          <w:vertAlign w:val="superscript"/>
          <w:lang w:val="en-GB"/>
        </w:rPr>
        <w:t>4</w:t>
      </w:r>
      <w:r w:rsidRPr="00E27293">
        <w:rPr>
          <w:i/>
          <w:sz w:val="20"/>
          <w:szCs w:val="20"/>
          <w:lang w:val="en-GB"/>
        </w:rPr>
        <w:t xml:space="preserve">Research Unit of Oral Health Sciences, Faculty of Medicine, University of Oulu, </w:t>
      </w:r>
    </w:p>
    <w:p w14:paraId="7A40CC25" w14:textId="77777777" w:rsidR="00E27293" w:rsidRPr="00E27293" w:rsidRDefault="00E27293" w:rsidP="00E27293">
      <w:pPr>
        <w:spacing w:line="276" w:lineRule="auto"/>
        <w:rPr>
          <w:i/>
          <w:sz w:val="20"/>
          <w:szCs w:val="20"/>
          <w:lang w:val="en-GB"/>
        </w:rPr>
      </w:pPr>
      <w:r w:rsidRPr="00E27293">
        <w:rPr>
          <w:i/>
          <w:sz w:val="20"/>
          <w:szCs w:val="20"/>
          <w:lang w:val="en-GB"/>
        </w:rPr>
        <w:t>Oulu, Finland</w:t>
      </w:r>
      <w:r w:rsidRPr="00E27293">
        <w:rPr>
          <w:i/>
          <w:sz w:val="20"/>
          <w:szCs w:val="20"/>
          <w:vertAlign w:val="superscript"/>
          <w:lang w:val="en-GB"/>
        </w:rPr>
        <w:t xml:space="preserve">, </w:t>
      </w:r>
    </w:p>
    <w:p w14:paraId="22E49FEE" w14:textId="77777777" w:rsidR="00E27293" w:rsidRPr="00E27293" w:rsidRDefault="00E27293" w:rsidP="00E27293">
      <w:pPr>
        <w:spacing w:line="276" w:lineRule="auto"/>
        <w:rPr>
          <w:i/>
          <w:sz w:val="20"/>
          <w:szCs w:val="20"/>
          <w:lang w:val="en-GB"/>
        </w:rPr>
      </w:pPr>
      <w:r w:rsidRPr="00E27293">
        <w:rPr>
          <w:i/>
          <w:sz w:val="20"/>
          <w:szCs w:val="20"/>
          <w:vertAlign w:val="superscript"/>
          <w:lang w:val="en-GB"/>
        </w:rPr>
        <w:t>5</w:t>
      </w:r>
      <w:r w:rsidRPr="00E27293">
        <w:rPr>
          <w:i/>
          <w:sz w:val="20"/>
          <w:szCs w:val="20"/>
          <w:lang w:val="en-GB"/>
        </w:rPr>
        <w:t xml:space="preserve">Oral and Maxillofacial Department, Medical Research </w:t>
      </w:r>
      <w:proofErr w:type="spellStart"/>
      <w:r w:rsidRPr="00E27293">
        <w:rPr>
          <w:i/>
          <w:sz w:val="20"/>
          <w:szCs w:val="20"/>
          <w:lang w:val="en-GB"/>
        </w:rPr>
        <w:t>Center</w:t>
      </w:r>
      <w:proofErr w:type="spellEnd"/>
      <w:r w:rsidRPr="00E27293">
        <w:rPr>
          <w:i/>
          <w:sz w:val="20"/>
          <w:szCs w:val="20"/>
          <w:lang w:val="en-GB"/>
        </w:rPr>
        <w:t xml:space="preserve"> Oulu, Oulu University Hospital, Oulu, Finland</w:t>
      </w:r>
    </w:p>
    <w:p w14:paraId="20E827BF" w14:textId="77777777" w:rsidR="00AE3E37" w:rsidRPr="00E27293" w:rsidRDefault="00AE3E37">
      <w:pPr>
        <w:pStyle w:val="BodyText"/>
        <w:rPr>
          <w:rFonts w:ascii="Arial"/>
          <w:sz w:val="20"/>
          <w:lang w:val="en-GB"/>
        </w:rPr>
      </w:pPr>
    </w:p>
    <w:p w14:paraId="05498968" w14:textId="77777777" w:rsidR="00AE3E37" w:rsidRDefault="00AE3E37">
      <w:pPr>
        <w:pStyle w:val="BodyText"/>
        <w:spacing w:before="3"/>
        <w:rPr>
          <w:rFonts w:ascii="Arial"/>
          <w:sz w:val="21"/>
        </w:rPr>
      </w:pPr>
    </w:p>
    <w:p w14:paraId="7129050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DB33B8E" w14:textId="6C5B4AEF" w:rsidR="00AE3E37" w:rsidRDefault="00A9710C">
      <w:pPr>
        <w:pStyle w:val="Heading3"/>
        <w:spacing w:before="147"/>
        <w:jc w:val="both"/>
      </w:pPr>
      <w:r>
        <w:rPr>
          <w:color w:val="BF5A14"/>
        </w:rPr>
        <w:t>Abstract</w:t>
      </w:r>
      <w:r w:rsidR="00404E5B">
        <w:rPr>
          <w:color w:val="BF5A14"/>
        </w:rPr>
        <w:t xml:space="preserve"> </w:t>
      </w:r>
    </w:p>
    <w:p w14:paraId="03AC3AC2" w14:textId="6EE60113" w:rsidR="00E27293" w:rsidRPr="00E27293" w:rsidRDefault="00E27293" w:rsidP="00E27293">
      <w:pPr>
        <w:pStyle w:val="Heading3"/>
        <w:spacing w:before="74"/>
        <w:rPr>
          <w:rFonts w:ascii="Tw Cen MT" w:eastAsia="Tw Cen MT" w:hAnsi="Tw Cen MT" w:cs="Tw Cen MT"/>
          <w:b w:val="0"/>
          <w:bCs w:val="0"/>
          <w:sz w:val="18"/>
          <w:szCs w:val="18"/>
        </w:rPr>
      </w:pPr>
      <w:r w:rsidRPr="00E27293">
        <w:rPr>
          <w:rFonts w:ascii="Tw Cen MT" w:eastAsia="Tw Cen MT" w:hAnsi="Tw Cen MT" w:cs="Tw Cen MT"/>
          <w:b w:val="0"/>
          <w:bCs w:val="0"/>
          <w:sz w:val="18"/>
          <w:szCs w:val="18"/>
        </w:rPr>
        <w:t>Statement of the Problem: Dental caries remains as one of the main health problems globally. Over the past decades, resin composites have gradually replaced amalgam as the main direct filling material. However, there are several shortcomings with this technique, especially larger fillings in lower posterior teeth are challenging. Indirect restorations are used to overcome the challenges linked with direct restorations.</w:t>
      </w:r>
      <w:r>
        <w:rPr>
          <w:rFonts w:ascii="Tw Cen MT" w:eastAsia="Tw Cen MT" w:hAnsi="Tw Cen MT" w:cs="Tw Cen MT"/>
          <w:b w:val="0"/>
          <w:bCs w:val="0"/>
          <w:sz w:val="18"/>
          <w:szCs w:val="18"/>
        </w:rPr>
        <w:t xml:space="preserve"> </w:t>
      </w:r>
      <w:r w:rsidRPr="00E27293">
        <w:rPr>
          <w:rFonts w:ascii="Tw Cen MT" w:eastAsia="Tw Cen MT" w:hAnsi="Tw Cen MT" w:cs="Tw Cen MT"/>
          <w:b w:val="0"/>
          <w:bCs w:val="0"/>
          <w:sz w:val="18"/>
          <w:szCs w:val="18"/>
        </w:rPr>
        <w:t xml:space="preserve">Objectives: To evaluate the challenges related to direct filling technique with composite resin restorations among Finnish dentists. Materials and Methods: An electronic questionnaire was sent to 3,777 Finnish dentists. Respondent’s age and the challenges with direct filling technique with composite resin restorations were inquired by multiple-choice questions. The number of replies was 760 and the response rate was 20.1%. The responses were grouped by age in five subgroups of ten years each, and the statistical differences between the age groups were </w:t>
      </w:r>
      <w:proofErr w:type="spellStart"/>
      <w:r w:rsidRPr="00E27293">
        <w:rPr>
          <w:rFonts w:ascii="Tw Cen MT" w:eastAsia="Tw Cen MT" w:hAnsi="Tw Cen MT" w:cs="Tw Cen MT"/>
          <w:b w:val="0"/>
          <w:bCs w:val="0"/>
          <w:sz w:val="18"/>
          <w:szCs w:val="18"/>
        </w:rPr>
        <w:t>analysed</w:t>
      </w:r>
      <w:proofErr w:type="spellEnd"/>
      <w:r w:rsidRPr="00E27293">
        <w:rPr>
          <w:rFonts w:ascii="Tw Cen MT" w:eastAsia="Tw Cen MT" w:hAnsi="Tw Cen MT" w:cs="Tw Cen MT"/>
          <w:b w:val="0"/>
          <w:bCs w:val="0"/>
          <w:sz w:val="18"/>
          <w:szCs w:val="18"/>
        </w:rPr>
        <w:t xml:space="preserve"> using Chi-square tests with the statistically significant level at p&lt;0.05.Results: The main shortcomings and challenges related to large (3 or more surfaces) direct composite fillings were poor survival rate (57.4%) and moisture sensitivity (49.9%) followed by polymerization shrinkage (38.8%), time-consuming technique (34.5%) and poor accuracy (16.3%). Poor survival rate (p&lt;0.001) and poor accuracy (p&lt;0.001) were reported more frequently by younger dentists than the older ones.  Concerning the other challenges, no statistically significant differences were found between the age groups. Conclusions: Dentists reported shortcomings related to direct dental composite filling methods. The findings give support to the development of new indirect techniques for cost-effective restorative treatment. RAYO 3DToothFill is a novel technique utilizing digital imaging and 3D printing to fabricate tooth fillings and other dental restorations</w:t>
      </w:r>
      <w:r w:rsidR="005F45D2">
        <w:rPr>
          <w:rFonts w:ascii="Tw Cen MT" w:eastAsia="Tw Cen MT" w:hAnsi="Tw Cen MT" w:cs="Tw Cen MT"/>
          <w:b w:val="0"/>
          <w:bCs w:val="0"/>
          <w:sz w:val="18"/>
          <w:szCs w:val="18"/>
        </w:rPr>
        <w:t>. The innovation is</w:t>
      </w:r>
      <w:bookmarkStart w:id="0" w:name="_GoBack"/>
      <w:bookmarkEnd w:id="0"/>
      <w:r w:rsidRPr="00E27293">
        <w:rPr>
          <w:rFonts w:ascii="Tw Cen MT" w:eastAsia="Tw Cen MT" w:hAnsi="Tw Cen MT" w:cs="Tw Cen MT"/>
          <w:b w:val="0"/>
          <w:bCs w:val="0"/>
          <w:sz w:val="18"/>
          <w:szCs w:val="18"/>
        </w:rPr>
        <w:t xml:space="preserve"> developed by a team of professors and experts from the University of Eastern Finland and University of Oulu, Finland. International patent pending. </w:t>
      </w:r>
    </w:p>
    <w:p w14:paraId="0156CB98" w14:textId="77777777" w:rsidR="00E27293" w:rsidRPr="00E27293" w:rsidRDefault="00E27293" w:rsidP="00E27293">
      <w:pPr>
        <w:pStyle w:val="Heading3"/>
        <w:spacing w:before="74"/>
        <w:rPr>
          <w:rFonts w:ascii="Tw Cen MT" w:eastAsia="Tw Cen MT" w:hAnsi="Tw Cen MT" w:cs="Tw Cen MT"/>
          <w:b w:val="0"/>
          <w:bCs w:val="0"/>
          <w:sz w:val="18"/>
          <w:szCs w:val="18"/>
        </w:rPr>
      </w:pPr>
    </w:p>
    <w:p w14:paraId="61DC69D1" w14:textId="79CD32A6" w:rsidR="00AE3E37" w:rsidRDefault="00E27293" w:rsidP="00E27293">
      <w:pPr>
        <w:pStyle w:val="Heading3"/>
        <w:spacing w:before="74"/>
      </w:pPr>
      <w:r w:rsidRPr="00E27293">
        <w:rPr>
          <w:rFonts w:ascii="Tw Cen MT" w:eastAsia="Tw Cen MT" w:hAnsi="Tw Cen MT" w:cs="Tw Cen MT"/>
          <w:b w:val="0"/>
          <w:bCs w:val="0"/>
          <w:sz w:val="18"/>
          <w:szCs w:val="18"/>
        </w:rPr>
        <w:t xml:space="preserve">Keywords: challenges, direct composite restorations, dentists. </w:t>
      </w:r>
      <w:r w:rsidR="00A9710C">
        <w:rPr>
          <w:b w:val="0"/>
        </w:rPr>
        <w:br w:type="column"/>
      </w:r>
    </w:p>
    <w:p w14:paraId="73E28A8E" w14:textId="5BAE6345" w:rsidR="005973B9" w:rsidRDefault="005973B9" w:rsidP="005973B9">
      <w:pPr>
        <w:spacing w:line="204" w:lineRule="exact"/>
        <w:rPr>
          <w:rFonts w:ascii="Arial"/>
          <w:b/>
          <w:sz w:val="20"/>
        </w:rPr>
      </w:pPr>
      <w:r>
        <w:rPr>
          <w:rFonts w:ascii="Arial"/>
          <w:b/>
          <w:color w:val="BF5A14"/>
          <w:sz w:val="20"/>
        </w:rPr>
        <w:br/>
        <w:t xml:space="preserve">Recent Publications </w:t>
      </w:r>
    </w:p>
    <w:p w14:paraId="3572D909" w14:textId="3EC4233F" w:rsidR="00E27293" w:rsidRPr="00E27293" w:rsidRDefault="00E27293" w:rsidP="00E27293">
      <w:pPr>
        <w:pStyle w:val="ListParagraph"/>
        <w:numPr>
          <w:ilvl w:val="0"/>
          <w:numId w:val="3"/>
        </w:numPr>
        <w:rPr>
          <w:rFonts w:ascii="Tw Cen MT" w:hAnsi="Tw Cen MT"/>
          <w:sz w:val="18"/>
        </w:rPr>
      </w:pPr>
      <w:proofErr w:type="spellStart"/>
      <w:r w:rsidRPr="00E27293">
        <w:rPr>
          <w:rFonts w:ascii="Tw Cen MT" w:hAnsi="Tw Cen MT"/>
          <w:sz w:val="18"/>
        </w:rPr>
        <w:t>Kassebaum</w:t>
      </w:r>
      <w:proofErr w:type="spellEnd"/>
      <w:r w:rsidRPr="00E27293">
        <w:rPr>
          <w:rFonts w:ascii="Tw Cen MT" w:hAnsi="Tw Cen MT"/>
          <w:sz w:val="18"/>
        </w:rPr>
        <w:t xml:space="preserve"> NJ, Smith AGC, </w:t>
      </w:r>
      <w:proofErr w:type="spellStart"/>
      <w:r w:rsidRPr="00E27293">
        <w:rPr>
          <w:rFonts w:ascii="Tw Cen MT" w:hAnsi="Tw Cen MT"/>
          <w:sz w:val="18"/>
        </w:rPr>
        <w:t>Bernabé</w:t>
      </w:r>
      <w:proofErr w:type="spellEnd"/>
      <w:r w:rsidRPr="00E27293">
        <w:rPr>
          <w:rFonts w:ascii="Tw Cen MT" w:hAnsi="Tw Cen MT"/>
          <w:sz w:val="18"/>
        </w:rPr>
        <w:t xml:space="preserve"> E, Fleming TD, Reynolds AE, Vos T, Murray </w:t>
      </w:r>
      <w:proofErr w:type="spellStart"/>
      <w:proofErr w:type="gramStart"/>
      <w:r w:rsidRPr="00E27293">
        <w:rPr>
          <w:rFonts w:ascii="Tw Cen MT" w:hAnsi="Tw Cen MT"/>
          <w:sz w:val="18"/>
        </w:rPr>
        <w:t>CJL,Marcenes</w:t>
      </w:r>
      <w:proofErr w:type="spellEnd"/>
      <w:proofErr w:type="gramEnd"/>
      <w:r w:rsidRPr="00E27293">
        <w:rPr>
          <w:rFonts w:ascii="Tw Cen MT" w:hAnsi="Tw Cen MT"/>
          <w:sz w:val="18"/>
        </w:rPr>
        <w:t xml:space="preserve"> W, and GBD 2015 Oral Health Collaborators. Global, Regional, and National Prevalence, Incidence, and Disability-Adjusted Life Years for Oral Conditions for 195 Countries, 1990–2015: A Systematic Analysis for the Global Burden of Diseases, Injuries, and Risk Factors. J Dent Res. </w:t>
      </w:r>
      <w:proofErr w:type="gramStart"/>
      <w:r w:rsidRPr="00E27293">
        <w:rPr>
          <w:rFonts w:ascii="Tw Cen MT" w:hAnsi="Tw Cen MT"/>
          <w:sz w:val="18"/>
        </w:rPr>
        <w:t>2017;96:380</w:t>
      </w:r>
      <w:proofErr w:type="gramEnd"/>
      <w:r w:rsidRPr="00E27293">
        <w:rPr>
          <w:rFonts w:ascii="Tw Cen MT" w:hAnsi="Tw Cen MT"/>
          <w:sz w:val="18"/>
        </w:rPr>
        <w:t>-387</w:t>
      </w:r>
    </w:p>
    <w:p w14:paraId="50F38346" w14:textId="59628A5A" w:rsidR="00E27293" w:rsidRPr="00E27293" w:rsidRDefault="00E27293" w:rsidP="00E27293">
      <w:pPr>
        <w:pStyle w:val="ListParagraph"/>
        <w:numPr>
          <w:ilvl w:val="0"/>
          <w:numId w:val="3"/>
        </w:numPr>
        <w:rPr>
          <w:rFonts w:ascii="Tw Cen MT" w:hAnsi="Tw Cen MT"/>
          <w:sz w:val="18"/>
        </w:rPr>
      </w:pPr>
      <w:r w:rsidRPr="00E27293">
        <w:rPr>
          <w:rFonts w:ascii="Tw Cen MT" w:hAnsi="Tw Cen MT"/>
          <w:sz w:val="18"/>
        </w:rPr>
        <w:t xml:space="preserve">Demarco FF, </w:t>
      </w:r>
      <w:proofErr w:type="spellStart"/>
      <w:r w:rsidRPr="00E27293">
        <w:rPr>
          <w:rFonts w:ascii="Tw Cen MT" w:hAnsi="Tw Cen MT"/>
          <w:sz w:val="18"/>
        </w:rPr>
        <w:t>Corrêa</w:t>
      </w:r>
      <w:proofErr w:type="spellEnd"/>
      <w:r w:rsidRPr="00E27293">
        <w:rPr>
          <w:rFonts w:ascii="Tw Cen MT" w:hAnsi="Tw Cen MT"/>
          <w:sz w:val="18"/>
        </w:rPr>
        <w:t xml:space="preserve"> MB, Cenci MS, </w:t>
      </w:r>
      <w:proofErr w:type="spellStart"/>
      <w:r w:rsidRPr="00E27293">
        <w:rPr>
          <w:rFonts w:ascii="Tw Cen MT" w:hAnsi="Tw Cen MT"/>
          <w:sz w:val="18"/>
        </w:rPr>
        <w:t>Moraes</w:t>
      </w:r>
      <w:proofErr w:type="spellEnd"/>
      <w:r w:rsidRPr="00E27293">
        <w:rPr>
          <w:rFonts w:ascii="Tw Cen MT" w:hAnsi="Tw Cen MT"/>
          <w:sz w:val="18"/>
        </w:rPr>
        <w:t xml:space="preserve"> RR, </w:t>
      </w:r>
      <w:proofErr w:type="spellStart"/>
      <w:r w:rsidRPr="00E27293">
        <w:rPr>
          <w:rFonts w:ascii="Tw Cen MT" w:hAnsi="Tw Cen MT"/>
          <w:sz w:val="18"/>
        </w:rPr>
        <w:t>Opdam</w:t>
      </w:r>
      <w:proofErr w:type="spellEnd"/>
      <w:r w:rsidRPr="00E27293">
        <w:rPr>
          <w:rFonts w:ascii="Tw Cen MT" w:hAnsi="Tw Cen MT"/>
          <w:sz w:val="18"/>
        </w:rPr>
        <w:t xml:space="preserve"> NJM. Longevity of posterior composite restorations: not only a matter of materials. Dent Mater. 2012;28(1):87–101.</w:t>
      </w:r>
    </w:p>
    <w:p w14:paraId="360E480B" w14:textId="422F3D30" w:rsidR="00E27293" w:rsidRPr="00E27293" w:rsidRDefault="00E27293" w:rsidP="00E27293">
      <w:pPr>
        <w:pStyle w:val="ListParagraph"/>
        <w:numPr>
          <w:ilvl w:val="0"/>
          <w:numId w:val="3"/>
        </w:numPr>
        <w:rPr>
          <w:rFonts w:ascii="Tw Cen MT" w:hAnsi="Tw Cen MT"/>
          <w:sz w:val="18"/>
        </w:rPr>
      </w:pPr>
      <w:r w:rsidRPr="00E27293">
        <w:rPr>
          <w:rFonts w:ascii="Tw Cen MT" w:hAnsi="Tw Cen MT"/>
          <w:sz w:val="18"/>
        </w:rPr>
        <w:t xml:space="preserve">Beck F, </w:t>
      </w:r>
      <w:proofErr w:type="spellStart"/>
      <w:r w:rsidRPr="00E27293">
        <w:rPr>
          <w:rFonts w:ascii="Tw Cen MT" w:hAnsi="Tw Cen MT"/>
          <w:sz w:val="18"/>
        </w:rPr>
        <w:t>Lettner</w:t>
      </w:r>
      <w:proofErr w:type="spellEnd"/>
      <w:r w:rsidRPr="00E27293">
        <w:rPr>
          <w:rFonts w:ascii="Tw Cen MT" w:hAnsi="Tw Cen MT"/>
          <w:sz w:val="18"/>
        </w:rPr>
        <w:t xml:space="preserve"> S, Graf A, </w:t>
      </w:r>
      <w:proofErr w:type="spellStart"/>
      <w:r w:rsidRPr="00E27293">
        <w:rPr>
          <w:rFonts w:ascii="Tw Cen MT" w:hAnsi="Tw Cen MT"/>
          <w:sz w:val="18"/>
        </w:rPr>
        <w:t>Bitriol</w:t>
      </w:r>
      <w:proofErr w:type="spellEnd"/>
      <w:r w:rsidRPr="00E27293">
        <w:rPr>
          <w:rFonts w:ascii="Tw Cen MT" w:hAnsi="Tw Cen MT"/>
          <w:sz w:val="18"/>
        </w:rPr>
        <w:t xml:space="preserve"> B, </w:t>
      </w:r>
      <w:proofErr w:type="spellStart"/>
      <w:r w:rsidRPr="00E27293">
        <w:rPr>
          <w:rFonts w:ascii="Tw Cen MT" w:hAnsi="Tw Cen MT"/>
          <w:sz w:val="18"/>
        </w:rPr>
        <w:t>Dumitrescu</w:t>
      </w:r>
      <w:proofErr w:type="spellEnd"/>
      <w:r w:rsidRPr="00E27293">
        <w:rPr>
          <w:rFonts w:ascii="Tw Cen MT" w:hAnsi="Tw Cen MT"/>
          <w:sz w:val="18"/>
        </w:rPr>
        <w:t xml:space="preserve"> N, Bauer P, et al. Survival of direct resin restorations in posterior teeth within a 19-year period (1996-2015): A meta-analysis of prospective studies. Dent Mater </w:t>
      </w:r>
      <w:proofErr w:type="gramStart"/>
      <w:r w:rsidRPr="00E27293">
        <w:rPr>
          <w:rFonts w:ascii="Tw Cen MT" w:hAnsi="Tw Cen MT"/>
          <w:sz w:val="18"/>
        </w:rPr>
        <w:t>2015;31:958</w:t>
      </w:r>
      <w:proofErr w:type="gramEnd"/>
      <w:r w:rsidRPr="00E27293">
        <w:rPr>
          <w:rFonts w:ascii="Tw Cen MT" w:hAnsi="Tw Cen MT"/>
          <w:sz w:val="18"/>
        </w:rPr>
        <w:t>-985.</w:t>
      </w:r>
    </w:p>
    <w:p w14:paraId="02C4A29E" w14:textId="6C6C8B2C" w:rsidR="00E27293" w:rsidRPr="00E27293" w:rsidRDefault="00E27293" w:rsidP="00E27293">
      <w:pPr>
        <w:pStyle w:val="ListParagraph"/>
        <w:numPr>
          <w:ilvl w:val="0"/>
          <w:numId w:val="3"/>
        </w:numPr>
        <w:rPr>
          <w:rFonts w:ascii="Tw Cen MT" w:hAnsi="Tw Cen MT"/>
          <w:sz w:val="18"/>
        </w:rPr>
      </w:pPr>
      <w:r w:rsidRPr="00E27293">
        <w:rPr>
          <w:rFonts w:ascii="Tw Cen MT" w:hAnsi="Tw Cen MT"/>
          <w:sz w:val="18"/>
          <w:lang w:val="fi-FI"/>
        </w:rPr>
        <w:t xml:space="preserve">Palotie U, Eronen AK, Vehkalahti K, Vehkalahti MM. </w:t>
      </w:r>
      <w:r w:rsidRPr="00E27293">
        <w:rPr>
          <w:rFonts w:ascii="Tw Cen MT" w:hAnsi="Tw Cen MT"/>
          <w:sz w:val="18"/>
        </w:rPr>
        <w:t xml:space="preserve">Longevity of 2- and 3-surface restorations in posterior teeth of 25- to 30-year-olds attending Public Dental Service-A 13-year observation. J Dent </w:t>
      </w:r>
      <w:proofErr w:type="gramStart"/>
      <w:r w:rsidRPr="00E27293">
        <w:rPr>
          <w:rFonts w:ascii="Tw Cen MT" w:hAnsi="Tw Cen MT"/>
          <w:sz w:val="18"/>
        </w:rPr>
        <w:t>2017;62:13</w:t>
      </w:r>
      <w:proofErr w:type="gramEnd"/>
      <w:r w:rsidRPr="00E27293">
        <w:rPr>
          <w:rFonts w:ascii="Tw Cen MT" w:hAnsi="Tw Cen MT"/>
          <w:sz w:val="18"/>
        </w:rPr>
        <w:t>-17.</w:t>
      </w:r>
    </w:p>
    <w:p w14:paraId="2D9FD48F" w14:textId="42956B8A" w:rsidR="005973B9" w:rsidRDefault="00E27293" w:rsidP="00E27293">
      <w:pPr>
        <w:pStyle w:val="BodyText"/>
        <w:numPr>
          <w:ilvl w:val="0"/>
          <w:numId w:val="3"/>
        </w:numPr>
        <w:spacing w:before="85" w:line="216" w:lineRule="exact"/>
        <w:ind w:right="138"/>
        <w:jc w:val="both"/>
      </w:pPr>
      <w:proofErr w:type="spellStart"/>
      <w:r w:rsidRPr="00E27293">
        <w:t>Opdam</w:t>
      </w:r>
      <w:proofErr w:type="spellEnd"/>
      <w:r w:rsidRPr="00E27293">
        <w:t xml:space="preserve"> NJ, van de Sande FH, </w:t>
      </w:r>
      <w:proofErr w:type="spellStart"/>
      <w:r w:rsidRPr="00E27293">
        <w:t>Bronkhorst</w:t>
      </w:r>
      <w:proofErr w:type="spellEnd"/>
      <w:r w:rsidRPr="00E27293">
        <w:t xml:space="preserve"> E, Cenci MS, </w:t>
      </w:r>
      <w:proofErr w:type="spellStart"/>
      <w:r w:rsidRPr="00E27293">
        <w:t>Bottenberg</w:t>
      </w:r>
      <w:proofErr w:type="spellEnd"/>
      <w:r w:rsidRPr="00E27293">
        <w:t xml:space="preserve"> P, </w:t>
      </w:r>
      <w:proofErr w:type="spellStart"/>
      <w:r w:rsidRPr="00E27293">
        <w:t>Pallesen</w:t>
      </w:r>
      <w:proofErr w:type="spellEnd"/>
      <w:r w:rsidRPr="00E27293">
        <w:t xml:space="preserve"> U, et al. Longevity of posterior composite restorations: a systematic review and meta-analysis. J Dent Res </w:t>
      </w:r>
      <w:proofErr w:type="gramStart"/>
      <w:r w:rsidRPr="00E27293">
        <w:t>2014;93:943</w:t>
      </w:r>
      <w:proofErr w:type="gramEnd"/>
      <w:r w:rsidRPr="00E27293">
        <w:t>-949.</w:t>
      </w:r>
      <w:r>
        <w:t xml:space="preserve"> </w:t>
      </w:r>
    </w:p>
    <w:p w14:paraId="5ECE44BC" w14:textId="77777777" w:rsidR="00E27293" w:rsidRPr="00E27293" w:rsidRDefault="00E27293" w:rsidP="00E27293">
      <w:pPr>
        <w:pStyle w:val="ListParagraph"/>
        <w:numPr>
          <w:ilvl w:val="0"/>
          <w:numId w:val="3"/>
        </w:numPr>
        <w:rPr>
          <w:rFonts w:ascii="Tw Cen MT" w:eastAsia="Tw Cen MT" w:hAnsi="Tw Cen MT" w:cs="Tw Cen MT"/>
          <w:sz w:val="18"/>
          <w:szCs w:val="18"/>
        </w:rPr>
      </w:pPr>
      <w:r w:rsidRPr="00E27293">
        <w:rPr>
          <w:rFonts w:ascii="Tw Cen MT" w:eastAsia="Tw Cen MT" w:hAnsi="Tw Cen MT" w:cs="Tw Cen MT"/>
          <w:sz w:val="18"/>
          <w:szCs w:val="18"/>
        </w:rPr>
        <w:t xml:space="preserve">D'Arcangelo C, </w:t>
      </w:r>
      <w:proofErr w:type="spellStart"/>
      <w:r w:rsidRPr="00E27293">
        <w:rPr>
          <w:rFonts w:ascii="Tw Cen MT" w:eastAsia="Tw Cen MT" w:hAnsi="Tw Cen MT" w:cs="Tw Cen MT"/>
          <w:sz w:val="18"/>
          <w:szCs w:val="18"/>
        </w:rPr>
        <w:t>Vanini</w:t>
      </w:r>
      <w:proofErr w:type="spellEnd"/>
      <w:r w:rsidRPr="00E27293">
        <w:rPr>
          <w:rFonts w:ascii="Tw Cen MT" w:eastAsia="Tw Cen MT" w:hAnsi="Tw Cen MT" w:cs="Tw Cen MT"/>
          <w:sz w:val="18"/>
          <w:szCs w:val="18"/>
        </w:rPr>
        <w:t xml:space="preserve"> L, </w:t>
      </w:r>
      <w:proofErr w:type="spellStart"/>
      <w:r w:rsidRPr="00E27293">
        <w:rPr>
          <w:rFonts w:ascii="Tw Cen MT" w:eastAsia="Tw Cen MT" w:hAnsi="Tw Cen MT" w:cs="Tw Cen MT"/>
          <w:sz w:val="18"/>
          <w:szCs w:val="18"/>
        </w:rPr>
        <w:t>Casinelli</w:t>
      </w:r>
      <w:proofErr w:type="spellEnd"/>
      <w:r w:rsidRPr="00E27293">
        <w:rPr>
          <w:rFonts w:ascii="Tw Cen MT" w:eastAsia="Tw Cen MT" w:hAnsi="Tw Cen MT" w:cs="Tw Cen MT"/>
          <w:sz w:val="18"/>
          <w:szCs w:val="18"/>
        </w:rPr>
        <w:t xml:space="preserve"> M, </w:t>
      </w:r>
      <w:proofErr w:type="spellStart"/>
      <w:r w:rsidRPr="00E27293">
        <w:rPr>
          <w:rFonts w:ascii="Tw Cen MT" w:eastAsia="Tw Cen MT" w:hAnsi="Tw Cen MT" w:cs="Tw Cen MT"/>
          <w:sz w:val="18"/>
          <w:szCs w:val="18"/>
        </w:rPr>
        <w:t>Frascaria</w:t>
      </w:r>
      <w:proofErr w:type="spellEnd"/>
      <w:r w:rsidRPr="00E27293">
        <w:rPr>
          <w:rFonts w:ascii="Tw Cen MT" w:eastAsia="Tw Cen MT" w:hAnsi="Tw Cen MT" w:cs="Tw Cen MT"/>
          <w:sz w:val="18"/>
          <w:szCs w:val="18"/>
        </w:rPr>
        <w:t xml:space="preserve"> M, De Angelis F, </w:t>
      </w:r>
      <w:proofErr w:type="spellStart"/>
      <w:r w:rsidRPr="00E27293">
        <w:rPr>
          <w:rFonts w:ascii="Tw Cen MT" w:eastAsia="Tw Cen MT" w:hAnsi="Tw Cen MT" w:cs="Tw Cen MT"/>
          <w:sz w:val="18"/>
          <w:szCs w:val="18"/>
        </w:rPr>
        <w:t>Vadini</w:t>
      </w:r>
      <w:proofErr w:type="spellEnd"/>
      <w:r w:rsidRPr="00E27293">
        <w:rPr>
          <w:rFonts w:ascii="Tw Cen MT" w:eastAsia="Tw Cen MT" w:hAnsi="Tw Cen MT" w:cs="Tw Cen MT"/>
          <w:sz w:val="18"/>
          <w:szCs w:val="18"/>
        </w:rPr>
        <w:t xml:space="preserve"> M, et al. Adhesive Cementation of Indirect Composite Inlays and </w:t>
      </w:r>
      <w:proofErr w:type="spellStart"/>
      <w:r w:rsidRPr="00E27293">
        <w:rPr>
          <w:rFonts w:ascii="Tw Cen MT" w:eastAsia="Tw Cen MT" w:hAnsi="Tw Cen MT" w:cs="Tw Cen MT"/>
          <w:sz w:val="18"/>
          <w:szCs w:val="18"/>
        </w:rPr>
        <w:t>Onlays</w:t>
      </w:r>
      <w:proofErr w:type="spellEnd"/>
      <w:r w:rsidRPr="00E27293">
        <w:rPr>
          <w:rFonts w:ascii="Tw Cen MT" w:eastAsia="Tw Cen MT" w:hAnsi="Tw Cen MT" w:cs="Tw Cen MT"/>
          <w:sz w:val="18"/>
          <w:szCs w:val="18"/>
        </w:rPr>
        <w:t xml:space="preserve">: A Literature Review. </w:t>
      </w:r>
      <w:proofErr w:type="spellStart"/>
      <w:r w:rsidRPr="00E27293">
        <w:rPr>
          <w:rFonts w:ascii="Tw Cen MT" w:eastAsia="Tw Cen MT" w:hAnsi="Tw Cen MT" w:cs="Tw Cen MT"/>
          <w:sz w:val="18"/>
          <w:szCs w:val="18"/>
        </w:rPr>
        <w:t>Compend</w:t>
      </w:r>
      <w:proofErr w:type="spellEnd"/>
      <w:r w:rsidRPr="00E27293">
        <w:rPr>
          <w:rFonts w:ascii="Tw Cen MT" w:eastAsia="Tw Cen MT" w:hAnsi="Tw Cen MT" w:cs="Tw Cen MT"/>
          <w:sz w:val="18"/>
          <w:szCs w:val="18"/>
        </w:rPr>
        <w:t xml:space="preserve"> Contin Educ Dent </w:t>
      </w:r>
      <w:proofErr w:type="gramStart"/>
      <w:r w:rsidRPr="00E27293">
        <w:rPr>
          <w:rFonts w:ascii="Tw Cen MT" w:eastAsia="Tw Cen MT" w:hAnsi="Tw Cen MT" w:cs="Tw Cen MT"/>
          <w:sz w:val="18"/>
          <w:szCs w:val="18"/>
        </w:rPr>
        <w:t>2015;36:570</w:t>
      </w:r>
      <w:proofErr w:type="gramEnd"/>
      <w:r w:rsidRPr="00E27293">
        <w:rPr>
          <w:rFonts w:ascii="Tw Cen MT" w:eastAsia="Tw Cen MT" w:hAnsi="Tw Cen MT" w:cs="Tw Cen MT"/>
          <w:sz w:val="18"/>
          <w:szCs w:val="18"/>
        </w:rPr>
        <w:t>-577.</w:t>
      </w:r>
    </w:p>
    <w:p w14:paraId="33864F1A" w14:textId="77777777" w:rsidR="00E27293" w:rsidRPr="00E27293" w:rsidRDefault="00E27293" w:rsidP="00E27293">
      <w:pPr>
        <w:pStyle w:val="BodyText"/>
        <w:spacing w:before="85" w:line="216" w:lineRule="exact"/>
        <w:ind w:left="383" w:right="138"/>
        <w:jc w:val="both"/>
      </w:pPr>
    </w:p>
    <w:p w14:paraId="67AA35AF" w14:textId="77777777" w:rsidR="00AE3E37" w:rsidRPr="008756E6" w:rsidRDefault="00AE3E37" w:rsidP="008756E6">
      <w:pPr>
        <w:tabs>
          <w:tab w:val="left" w:pos="384"/>
        </w:tabs>
        <w:ind w:right="117"/>
      </w:pPr>
    </w:p>
    <w:p w14:paraId="07DA5C3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F102ABA" w14:textId="77777777" w:rsidR="00AE3E37" w:rsidRDefault="00AE3E37">
      <w:pPr>
        <w:pStyle w:val="BodyText"/>
        <w:rPr>
          <w:rFonts w:ascii="Calibri"/>
          <w:sz w:val="20"/>
        </w:rPr>
      </w:pPr>
    </w:p>
    <w:p w14:paraId="0A441AB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442773B" wp14:editId="54E4C48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135C3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1C246C1" w14:textId="2062E613" w:rsidR="00AE3E37" w:rsidRDefault="008756E6" w:rsidP="00404E5B">
      <w:pPr>
        <w:spacing w:before="92"/>
        <w:ind w:right="4234"/>
        <w:rPr>
          <w:rFonts w:ascii="Arial"/>
        </w:rPr>
      </w:pPr>
      <w:r>
        <w:rPr>
          <w:noProof/>
        </w:rPr>
        <w:t xml:space="preserve">              </w:t>
      </w:r>
      <w:r w:rsidR="00E27293">
        <w:rPr>
          <w:noProof/>
        </w:rPr>
        <w:drawing>
          <wp:inline distT="0" distB="0" distL="0" distR="0" wp14:anchorId="3FF1B058" wp14:editId="6B46DE54">
            <wp:extent cx="481330" cy="615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30" cy="615950"/>
                    </a:xfrm>
                    <a:prstGeom prst="rect">
                      <a:avLst/>
                    </a:prstGeom>
                    <a:noFill/>
                  </pic:spPr>
                </pic:pic>
              </a:graphicData>
            </a:graphic>
          </wp:inline>
        </w:drawing>
      </w:r>
      <w:r w:rsidR="00E27293">
        <w:rPr>
          <w:noProof/>
          <w:lang w:val="en-IN" w:eastAsia="en-IN"/>
        </w:rPr>
        <w:t xml:space="preserve"> </w:t>
      </w:r>
      <w:r w:rsidR="00A9710C">
        <w:rPr>
          <w:rFonts w:ascii="Arial"/>
          <w:color w:val="BF5A14"/>
        </w:rPr>
        <w:t>Biography</w:t>
      </w:r>
      <w:r w:rsidR="00404E5B">
        <w:rPr>
          <w:rFonts w:ascii="Arial"/>
          <w:color w:val="BF5A14"/>
        </w:rPr>
        <w:t xml:space="preserve"> </w:t>
      </w:r>
    </w:p>
    <w:p w14:paraId="45215D9D" w14:textId="63FF467E" w:rsidR="00AE3E37" w:rsidRDefault="00E27293">
      <w:pPr>
        <w:spacing w:before="41" w:line="154" w:lineRule="exact"/>
        <w:ind w:left="213" w:right="231"/>
        <w:jc w:val="both"/>
        <w:rPr>
          <w:rFonts w:ascii="Arial"/>
          <w:sz w:val="14"/>
        </w:rPr>
      </w:pPr>
      <w:r w:rsidRPr="00E27293">
        <w:rPr>
          <w:rFonts w:ascii="Arial"/>
          <w:sz w:val="14"/>
        </w:rPr>
        <w:t>Dr. Pirkko-Liisa Tarvonen has a specialist degree in Dental Public Health from the University of Turku, Finland, and a PhD degree from the University of Eastern Finland. She acts as Dental Marketing Director at Rayo 3D-Toothfill Ltd and as University Lecturer at the University of Helsinki and at the University of Eastern Finland. As a voluntary project coordinator for ten years she has had a remarkable contribution in the support of primary dental care and dental education in the Democratic People</w:t>
      </w:r>
      <w:r w:rsidRPr="00E27293">
        <w:rPr>
          <w:rFonts w:ascii="Arial"/>
          <w:sz w:val="14"/>
        </w:rPr>
        <w:t>’</w:t>
      </w:r>
      <w:r w:rsidRPr="00E27293">
        <w:rPr>
          <w:rFonts w:ascii="Arial"/>
          <w:sz w:val="14"/>
        </w:rPr>
        <w:t xml:space="preserve">s Republic Korea. </w:t>
      </w:r>
      <w:r w:rsidR="00A9710C">
        <w:rPr>
          <w:rFonts w:ascii="Arial"/>
          <w:sz w:val="14"/>
        </w:rPr>
        <w:t xml:space="preserve"> </w:t>
      </w:r>
    </w:p>
    <w:p w14:paraId="61A6A04E" w14:textId="584E799B" w:rsidR="00E27293" w:rsidRDefault="00E27293" w:rsidP="00E27293">
      <w:pPr>
        <w:spacing w:before="62"/>
        <w:ind w:right="4235"/>
        <w:rPr>
          <w:rFonts w:ascii="Arial"/>
          <w:sz w:val="14"/>
        </w:rPr>
      </w:pPr>
      <w:r>
        <w:rPr>
          <w:rFonts w:ascii="Arial"/>
          <w:sz w:val="14"/>
        </w:rPr>
        <w:t xml:space="preserve">                                                                                                  </w:t>
      </w:r>
      <w:r>
        <w:rPr>
          <w:rFonts w:ascii="Arial"/>
          <w:sz w:val="14"/>
        </w:rPr>
        <w:t xml:space="preserve">Email: </w:t>
      </w:r>
      <w:hyperlink r:id="rId10" w:history="1">
        <w:r w:rsidRPr="00A24929">
          <w:rPr>
            <w:rStyle w:val="Hyperlink"/>
            <w:rFonts w:ascii="Arial"/>
            <w:sz w:val="14"/>
          </w:rPr>
          <w:t>pirkko-liisa.tarvonen@rayo3d.fi</w:t>
        </w:r>
      </w:hyperlink>
    </w:p>
    <w:p w14:paraId="283E568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8F07D81" wp14:editId="0D0B7C4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DE4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A8A79FE" w14:textId="77777777" w:rsidR="00AE3E37" w:rsidRDefault="00AE3E37">
      <w:pPr>
        <w:pStyle w:val="BodyText"/>
        <w:rPr>
          <w:rFonts w:ascii="Arial"/>
          <w:sz w:val="20"/>
        </w:rPr>
      </w:pPr>
    </w:p>
    <w:p w14:paraId="2D76F644" w14:textId="77777777" w:rsidR="00AE3E37" w:rsidRDefault="00AE3E37">
      <w:pPr>
        <w:pStyle w:val="BodyText"/>
        <w:rPr>
          <w:rFonts w:ascii="Arial"/>
          <w:sz w:val="20"/>
        </w:rPr>
      </w:pPr>
    </w:p>
    <w:p w14:paraId="6D82F3DB" w14:textId="77777777" w:rsidR="00AE3E37" w:rsidRPr="00B21A57" w:rsidRDefault="00A9710C">
      <w:pPr>
        <w:spacing w:before="39"/>
        <w:ind w:left="100"/>
        <w:rPr>
          <w:rFonts w:ascii="Minion Pro"/>
          <w:b/>
          <w:sz w:val="20"/>
        </w:rPr>
      </w:pPr>
      <w:r w:rsidRPr="00B21A57">
        <w:rPr>
          <w:rFonts w:ascii="Minion Pro"/>
          <w:b/>
          <w:sz w:val="20"/>
        </w:rPr>
        <w:t>Notes/Comments:</w:t>
      </w:r>
    </w:p>
    <w:p w14:paraId="53D20DD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C69157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B23B4" w14:textId="77777777" w:rsidR="004D1E16" w:rsidRDefault="004D1E16">
      <w:r>
        <w:separator/>
      </w:r>
    </w:p>
  </w:endnote>
  <w:endnote w:type="continuationSeparator" w:id="0">
    <w:p w14:paraId="41B650CC" w14:textId="77777777" w:rsidR="004D1E16" w:rsidRDefault="004D1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11A3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BB34335" wp14:editId="17261F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ACD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97C2D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B3433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CAACD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97C2D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C80E9B2" wp14:editId="6892143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416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F94D3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0E9B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7A4165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F94D3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1DCDC1" wp14:editId="5D6B4E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78DA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8201C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DCDC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3778DA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C8201C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101A7" w14:textId="77777777" w:rsidR="004D1E16" w:rsidRDefault="004D1E16">
      <w:r>
        <w:separator/>
      </w:r>
    </w:p>
  </w:footnote>
  <w:footnote w:type="continuationSeparator" w:id="0">
    <w:p w14:paraId="0D4B1079" w14:textId="77777777" w:rsidR="004D1E16" w:rsidRDefault="004D1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7F19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D2EECC8" wp14:editId="0C3EA52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26E0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EECC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8A26E0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A5188D3" wp14:editId="04FAFC7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3AF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41A7D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188D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313AF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41A7D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D1E16"/>
    <w:rsid w:val="004F3523"/>
    <w:rsid w:val="005973B9"/>
    <w:rsid w:val="005B3A56"/>
    <w:rsid w:val="005F45D2"/>
    <w:rsid w:val="006060CE"/>
    <w:rsid w:val="0063497F"/>
    <w:rsid w:val="00873DF0"/>
    <w:rsid w:val="008756E6"/>
    <w:rsid w:val="008A08B6"/>
    <w:rsid w:val="009B2D44"/>
    <w:rsid w:val="00A07E82"/>
    <w:rsid w:val="00A9710C"/>
    <w:rsid w:val="00AE3E37"/>
    <w:rsid w:val="00B21A57"/>
    <w:rsid w:val="00C33602"/>
    <w:rsid w:val="00CD6F55"/>
    <w:rsid w:val="00DE3104"/>
    <w:rsid w:val="00E26B10"/>
    <w:rsid w:val="00E2729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3BFDD"/>
  <w15:docId w15:val="{53EE8E6F-D8EF-4035-B35F-FA2010494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27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irkko-liisa.tarvonen@rayo3d.fi"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554</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Pirkko-Liisa Tarvonen</cp:lastModifiedBy>
  <cp:revision>3</cp:revision>
  <dcterms:created xsi:type="dcterms:W3CDTF">2019-01-22T12:00:00Z</dcterms:created>
  <dcterms:modified xsi:type="dcterms:W3CDTF">2019-01-22T12:01:00Z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