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B6CA6" w:rsidRPr="003B6CA6" w:rsidRDefault="003B6CA6" w:rsidP="003B6CA6">
      <w:pPr>
        <w:rPr>
          <w:rFonts w:ascii="Minion Pro" w:eastAsia="Minion Pro" w:hAnsi="Minion Pro" w:cs="Minion Pro"/>
          <w:b/>
          <w:bCs/>
          <w:color w:val="337AB7"/>
          <w:sz w:val="36"/>
          <w:szCs w:val="36"/>
        </w:rPr>
      </w:pPr>
      <w:r w:rsidRPr="003B6CA6">
        <w:rPr>
          <w:rFonts w:ascii="Minion Pro" w:eastAsia="Minion Pro" w:hAnsi="Minion Pro" w:cs="Minion Pro"/>
          <w:b/>
          <w:bCs/>
          <w:color w:val="337AB7"/>
          <w:sz w:val="36"/>
          <w:szCs w:val="36"/>
        </w:rPr>
        <w:t>Intrusive luxation :</w:t>
      </w:r>
      <w:r w:rsidR="005608C0">
        <w:rPr>
          <w:rFonts w:ascii="Minion Pro" w:eastAsia="Minion Pro" w:hAnsi="Minion Pro" w:cs="Minion Pro"/>
          <w:b/>
          <w:bCs/>
          <w:color w:val="337AB7"/>
          <w:sz w:val="36"/>
          <w:szCs w:val="36"/>
        </w:rPr>
        <w:t xml:space="preserve"> </w:t>
      </w:r>
      <w:r w:rsidRPr="003B6CA6">
        <w:rPr>
          <w:rFonts w:ascii="Minion Pro" w:eastAsia="Minion Pro" w:hAnsi="Minion Pro" w:cs="Minion Pro"/>
          <w:b/>
          <w:bCs/>
          <w:color w:val="337AB7"/>
          <w:sz w:val="36"/>
          <w:szCs w:val="36"/>
        </w:rPr>
        <w:t>From reflexion to decision : About two cases reports.</w:t>
      </w:r>
    </w:p>
    <w:p w:rsidR="005722A2" w:rsidRDefault="005722A2" w:rsidP="003B6CA6">
      <w:pPr>
        <w:pStyle w:val="Corpsdetexte"/>
        <w:spacing w:before="73" w:line="198" w:lineRule="exact"/>
        <w:ind w:right="5987"/>
        <w:rPr>
          <w:rFonts w:ascii="Arial"/>
        </w:rPr>
      </w:pPr>
    </w:p>
    <w:p w:rsidR="008546FA" w:rsidRDefault="008546FA" w:rsidP="008546FA">
      <w:pPr>
        <w:jc w:val="center"/>
      </w:pPr>
      <w:r w:rsidRPr="003B6CA6">
        <w:rPr>
          <w:lang w:val="fr-FR"/>
        </w:rPr>
        <w:t xml:space="preserve">M.Lferde*, S.Tabbai*, FZ. </w:t>
      </w:r>
      <w:r>
        <w:t>Benka</w:t>
      </w:r>
      <w:r w:rsidRPr="00556C25">
        <w:t>rroum</w:t>
      </w:r>
      <w:r>
        <w:t>**</w:t>
      </w:r>
      <w:r w:rsidRPr="00556C25">
        <w:t>, H.Chhoul</w:t>
      </w:r>
      <w:r>
        <w:t>***</w:t>
      </w:r>
      <w:r w:rsidRPr="00556C25">
        <w:t>.</w:t>
      </w:r>
    </w:p>
    <w:p w:rsidR="008546FA" w:rsidRDefault="008546FA" w:rsidP="005973B9">
      <w:pPr>
        <w:pStyle w:val="Corpsdetexte"/>
        <w:spacing w:before="73" w:line="198" w:lineRule="exact"/>
        <w:ind w:left="100" w:right="5987"/>
        <w:rPr>
          <w:rFonts w:ascii="Arial"/>
        </w:rPr>
      </w:pPr>
    </w:p>
    <w:p w:rsidR="005722A2" w:rsidRDefault="005722A2" w:rsidP="005722A2">
      <w:pPr>
        <w:widowControl/>
        <w:rPr>
          <w:rFonts w:ascii="Arial"/>
          <w:sz w:val="14"/>
        </w:rPr>
      </w:pPr>
      <w:r>
        <w:rPr>
          <w:rFonts w:ascii="Arial"/>
          <w:sz w:val="14"/>
        </w:rPr>
        <w:t>*</w:t>
      </w:r>
      <w:r w:rsidRPr="005722A2">
        <w:rPr>
          <w:rFonts w:ascii="Arial"/>
          <w:sz w:val="14"/>
        </w:rPr>
        <w:t>Resident in pediatric dentistry,</w:t>
      </w:r>
      <w:r w:rsidR="008546FA" w:rsidRPr="005E343F">
        <w:rPr>
          <w:rFonts w:ascii="Arial"/>
          <w:sz w:val="14"/>
        </w:rPr>
        <w:t xml:space="preserve"> Ibn sina University Medical Center, </w:t>
      </w:r>
      <w:r w:rsidRPr="005722A2">
        <w:rPr>
          <w:rFonts w:ascii="Arial"/>
          <w:sz w:val="14"/>
        </w:rPr>
        <w:t xml:space="preserve"> Faculty of dental medicine, mohammed V University of Rabat Morocco</w:t>
      </w:r>
    </w:p>
    <w:p w:rsidR="005E343F" w:rsidRDefault="005722A2" w:rsidP="008546FA">
      <w:pPr>
        <w:widowControl/>
        <w:rPr>
          <w:rFonts w:ascii="Arial"/>
          <w:sz w:val="14"/>
        </w:rPr>
      </w:pPr>
      <w:r w:rsidRPr="008546FA">
        <w:rPr>
          <w:rFonts w:ascii="Arial"/>
          <w:sz w:val="14"/>
        </w:rPr>
        <w:t>**</w:t>
      </w:r>
      <w:r w:rsidR="008546FA">
        <w:rPr>
          <w:rFonts w:ascii="Arial"/>
          <w:sz w:val="14"/>
        </w:rPr>
        <w:t xml:space="preserve"> Assistant</w:t>
      </w:r>
      <w:r w:rsidR="008546FA" w:rsidRPr="008546FA">
        <w:rPr>
          <w:rFonts w:ascii="Arial"/>
          <w:sz w:val="14"/>
        </w:rPr>
        <w:t xml:space="preserve"> professor, </w:t>
      </w:r>
      <w:r w:rsidR="008546FA" w:rsidRPr="005E343F">
        <w:rPr>
          <w:rFonts w:ascii="Arial"/>
          <w:sz w:val="14"/>
        </w:rPr>
        <w:t xml:space="preserve">Ibn sina University Medical Center, </w:t>
      </w:r>
      <w:r w:rsidR="008546FA" w:rsidRPr="005722A2">
        <w:rPr>
          <w:rFonts w:ascii="Arial"/>
          <w:sz w:val="14"/>
        </w:rPr>
        <w:t xml:space="preserve"> Faculty of dental medicine, mohammed V University of Rabat Morocco</w:t>
      </w:r>
      <w:r w:rsidR="008546FA" w:rsidRPr="008546FA">
        <w:rPr>
          <w:rFonts w:ascii="Arial"/>
          <w:sz w:val="14"/>
        </w:rPr>
        <w:t xml:space="preserve"> </w:t>
      </w:r>
    </w:p>
    <w:p w:rsidR="008546FA" w:rsidRPr="00924C7F" w:rsidRDefault="005722A2" w:rsidP="008546FA">
      <w:pPr>
        <w:widowControl/>
        <w:rPr>
          <w:rFonts w:ascii="Arial"/>
          <w:sz w:val="14"/>
        </w:rPr>
      </w:pPr>
      <w:r w:rsidRPr="008546FA">
        <w:rPr>
          <w:rFonts w:ascii="Arial"/>
          <w:sz w:val="14"/>
        </w:rPr>
        <w:t>***</w:t>
      </w:r>
      <w:r w:rsidR="008546FA" w:rsidRPr="008546FA">
        <w:rPr>
          <w:rFonts w:ascii="Arial"/>
          <w:sz w:val="14"/>
        </w:rPr>
        <w:t xml:space="preserve"> Profesor of higher education </w:t>
      </w:r>
      <w:r w:rsidR="008546FA" w:rsidRPr="005E343F">
        <w:rPr>
          <w:rFonts w:ascii="Arial"/>
          <w:sz w:val="14"/>
        </w:rPr>
        <w:t>Ibn sina University Medical Center</w:t>
      </w:r>
      <w:r w:rsidR="008546FA">
        <w:t xml:space="preserve">, </w:t>
      </w:r>
      <w:r w:rsidR="008546FA" w:rsidRPr="005722A2">
        <w:rPr>
          <w:rFonts w:ascii="Arial"/>
          <w:sz w:val="14"/>
        </w:rPr>
        <w:t xml:space="preserve"> Faculty of dental medicine, mohammed V University of Rabat Morocco</w:t>
      </w:r>
    </w:p>
    <w:p w:rsidR="005722A2" w:rsidRPr="008546FA" w:rsidRDefault="005722A2" w:rsidP="005722A2">
      <w:pPr>
        <w:widowControl/>
        <w:rPr>
          <w:rFonts w:ascii="Arial"/>
          <w:sz w:val="14"/>
        </w:rPr>
      </w:pPr>
    </w:p>
    <w:p w:rsidR="00AE3E37" w:rsidRPr="008546FA" w:rsidRDefault="00AE3E37">
      <w:pPr>
        <w:rPr>
          <w:rFonts w:ascii="Arial"/>
          <w:sz w:val="21"/>
        </w:rPr>
        <w:sectPr w:rsidR="00AE3E37" w:rsidRPr="008546FA">
          <w:headerReference w:type="default" r:id="rId7"/>
          <w:footerReference w:type="default" r:id="rId8"/>
          <w:type w:val="continuous"/>
          <w:pgSz w:w="11910" w:h="16840"/>
          <w:pgMar w:top="1740" w:right="600" w:bottom="840" w:left="620" w:header="541" w:footer="642" w:gutter="0"/>
          <w:cols w:space="720"/>
        </w:sectPr>
      </w:pPr>
    </w:p>
    <w:p w:rsidR="00AE3E37" w:rsidRPr="003B6CA6" w:rsidRDefault="00A9710C" w:rsidP="001A3B27">
      <w:pPr>
        <w:pStyle w:val="Titre3"/>
        <w:spacing w:before="147"/>
        <w:ind w:left="0"/>
        <w:jc w:val="both"/>
      </w:pPr>
      <w:r w:rsidRPr="003B6CA6">
        <w:rPr>
          <w:color w:val="BF5A14"/>
        </w:rPr>
        <w:lastRenderedPageBreak/>
        <w:t>Abstract</w:t>
      </w:r>
      <w:r w:rsidR="00404E5B" w:rsidRPr="003B6CA6">
        <w:rPr>
          <w:color w:val="BF5A14"/>
        </w:rPr>
        <w:t xml:space="preserve"> </w:t>
      </w:r>
    </w:p>
    <w:p w:rsidR="003B6CA6" w:rsidRPr="003B6CA6" w:rsidRDefault="003B6CA6" w:rsidP="003B6CA6">
      <w:pPr>
        <w:jc w:val="both"/>
        <w:rPr>
          <w:sz w:val="18"/>
          <w:szCs w:val="18"/>
          <w:u w:val="single"/>
        </w:rPr>
      </w:pPr>
      <w:r w:rsidRPr="003B6CA6">
        <w:rPr>
          <w:sz w:val="18"/>
          <w:szCs w:val="18"/>
          <w:u w:val="single"/>
        </w:rPr>
        <w:t>Introduction </w:t>
      </w:r>
    </w:p>
    <w:p w:rsidR="003B6CA6" w:rsidRPr="003B6CA6" w:rsidRDefault="003B6CA6" w:rsidP="003B6CA6">
      <w:pPr>
        <w:jc w:val="both"/>
        <w:rPr>
          <w:sz w:val="18"/>
          <w:szCs w:val="18"/>
        </w:rPr>
      </w:pPr>
      <w:r w:rsidRPr="003B6CA6">
        <w:rPr>
          <w:sz w:val="18"/>
          <w:szCs w:val="18"/>
        </w:rPr>
        <w:t>Dental intrusion corresponds to the axial displacement of the tooth into the alveolar bone.</w:t>
      </w:r>
      <w:r w:rsidRPr="003B6CA6" w:rsidDel="00444B75">
        <w:rPr>
          <w:sz w:val="18"/>
          <w:szCs w:val="18"/>
        </w:rPr>
        <w:t xml:space="preserve"> </w:t>
      </w:r>
      <w:r w:rsidRPr="003B6CA6">
        <w:rPr>
          <w:sz w:val="18"/>
          <w:szCs w:val="18"/>
        </w:rPr>
        <w:t>Rather infrequent, it represents between 0.3 and 1.9% of traumas in permanent dentitions. It occurs mostly in children between the ages of 6 and 12 and g</w:t>
      </w:r>
      <w:r>
        <w:rPr>
          <w:sz w:val="18"/>
          <w:szCs w:val="18"/>
        </w:rPr>
        <w:t xml:space="preserve">enerally affects only one tooth. </w:t>
      </w:r>
      <w:r w:rsidRPr="003B6CA6">
        <w:rPr>
          <w:sz w:val="18"/>
          <w:szCs w:val="18"/>
        </w:rPr>
        <w:t xml:space="preserve"> </w:t>
      </w:r>
    </w:p>
    <w:p w:rsidR="003B6CA6" w:rsidRPr="003B6CA6" w:rsidRDefault="003B6CA6" w:rsidP="003B6CA6">
      <w:pPr>
        <w:jc w:val="both"/>
        <w:rPr>
          <w:sz w:val="18"/>
          <w:szCs w:val="18"/>
          <w:u w:val="single"/>
        </w:rPr>
      </w:pPr>
      <w:r w:rsidRPr="003B6CA6">
        <w:rPr>
          <w:sz w:val="18"/>
          <w:szCs w:val="18"/>
          <w:u w:val="single"/>
        </w:rPr>
        <w:t xml:space="preserve">Case report </w:t>
      </w:r>
    </w:p>
    <w:p w:rsidR="003B6CA6" w:rsidRPr="003B6CA6" w:rsidRDefault="003B6CA6" w:rsidP="003B6CA6">
      <w:pPr>
        <w:spacing w:after="160"/>
        <w:jc w:val="both"/>
        <w:rPr>
          <w:sz w:val="18"/>
          <w:szCs w:val="18"/>
        </w:rPr>
      </w:pPr>
      <w:r w:rsidRPr="003B6CA6">
        <w:rPr>
          <w:sz w:val="18"/>
          <w:szCs w:val="18"/>
        </w:rPr>
        <w:t>First case:  The patient, B.K, was a 9 year old child that reported to the Rabat Dental Treatment and Consultation Center (DTCC) in emergency following a fall at home. After clinical and radiographic examination, the diagnosis of the intrusion of the two immature central maxillary incisors was made. The management of the case consisted in the therapeutic abstention with  regular follow-up. Spontaneous re-eruption of the teeth occurred 3 weeks after the trauma.</w:t>
      </w:r>
    </w:p>
    <w:p w:rsidR="003B6CA6" w:rsidRPr="003B6CA6" w:rsidRDefault="003B6CA6" w:rsidP="003B6CA6">
      <w:pPr>
        <w:spacing w:after="160"/>
        <w:jc w:val="both"/>
        <w:rPr>
          <w:sz w:val="18"/>
          <w:szCs w:val="18"/>
        </w:rPr>
      </w:pPr>
      <w:r w:rsidRPr="003B6CA6">
        <w:rPr>
          <w:sz w:val="18"/>
          <w:szCs w:val="18"/>
        </w:rPr>
        <w:t xml:space="preserve">Second case: The patient Z.M, was a 14 year old teenager, who was sent to the DTCC of Rabat in emergency following a public road accident. After clinical and radiographic examination, the diagnosis of the intrusion of the upper right central incisor was made. The treatment consisted of a surgical repositioning of the tooth. </w:t>
      </w:r>
    </w:p>
    <w:p w:rsidR="003B6CA6" w:rsidRPr="003B6CA6" w:rsidRDefault="003B6CA6" w:rsidP="003B6CA6">
      <w:pPr>
        <w:jc w:val="both"/>
        <w:rPr>
          <w:sz w:val="18"/>
          <w:szCs w:val="18"/>
        </w:rPr>
      </w:pPr>
      <w:r w:rsidRPr="003B6CA6">
        <w:rPr>
          <w:sz w:val="18"/>
          <w:szCs w:val="18"/>
        </w:rPr>
        <w:t>The clinical and radiological follow-up of the two clinical cases was spread over 18 months.</w:t>
      </w:r>
    </w:p>
    <w:p w:rsidR="003B6CA6" w:rsidRPr="003B6CA6" w:rsidRDefault="003B6CA6" w:rsidP="003B6CA6">
      <w:pPr>
        <w:jc w:val="both"/>
        <w:rPr>
          <w:sz w:val="18"/>
          <w:szCs w:val="18"/>
          <w:u w:val="single"/>
        </w:rPr>
      </w:pPr>
      <w:r w:rsidRPr="003B6CA6">
        <w:rPr>
          <w:sz w:val="18"/>
          <w:szCs w:val="18"/>
          <w:u w:val="single"/>
        </w:rPr>
        <w:t xml:space="preserve">Discussion. </w:t>
      </w:r>
    </w:p>
    <w:p w:rsidR="003B6CA6" w:rsidRPr="003B6CA6" w:rsidRDefault="003B6CA6" w:rsidP="003B6CA6">
      <w:pPr>
        <w:jc w:val="both"/>
        <w:rPr>
          <w:sz w:val="18"/>
          <w:szCs w:val="18"/>
        </w:rPr>
      </w:pPr>
      <w:r w:rsidRPr="003B6CA6">
        <w:rPr>
          <w:sz w:val="18"/>
          <w:szCs w:val="18"/>
        </w:rPr>
        <w:t>Intrusive luxation is the most severe form of dental trauma.Axial shock usually causes considerable pulpal and periodontal complications. The treatment is complex since the prognosis is often unfavorable with inevitable complications.To date, no treatment has been found better than another. Besides, the incidence of pulp necrosis, all methods combined, varies from 45% to 96%.The therapeutic modalities depend on the age of the child, the stage of the root formation but also the importance of the vertical dislocation.</w:t>
      </w:r>
    </w:p>
    <w:p w:rsidR="003B6CA6" w:rsidRPr="003B6CA6" w:rsidRDefault="003B6CA6" w:rsidP="003B6CA6">
      <w:pPr>
        <w:jc w:val="both"/>
        <w:rPr>
          <w:sz w:val="18"/>
          <w:szCs w:val="18"/>
        </w:rPr>
      </w:pPr>
    </w:p>
    <w:p w:rsidR="003B6CA6" w:rsidRPr="003B6CA6" w:rsidRDefault="003B6CA6" w:rsidP="003B6CA6">
      <w:pPr>
        <w:jc w:val="both"/>
        <w:rPr>
          <w:sz w:val="18"/>
          <w:szCs w:val="18"/>
          <w:u w:val="single"/>
        </w:rPr>
      </w:pPr>
      <w:r w:rsidRPr="003B6CA6">
        <w:rPr>
          <w:sz w:val="18"/>
          <w:szCs w:val="18"/>
          <w:u w:val="single"/>
        </w:rPr>
        <w:t>Conclusion</w:t>
      </w:r>
    </w:p>
    <w:p w:rsidR="003B6CA6" w:rsidRPr="003B6CA6" w:rsidRDefault="003B6CA6" w:rsidP="003B6CA6">
      <w:pPr>
        <w:jc w:val="both"/>
        <w:rPr>
          <w:sz w:val="18"/>
          <w:szCs w:val="18"/>
        </w:rPr>
      </w:pPr>
      <w:r w:rsidRPr="003B6CA6">
        <w:rPr>
          <w:sz w:val="18"/>
          <w:szCs w:val="18"/>
        </w:rPr>
        <w:t>Intrusive luxation, although rare, is the most severe form of traumatic emergencies</w:t>
      </w:r>
      <w:r>
        <w:rPr>
          <w:sz w:val="18"/>
          <w:szCs w:val="18"/>
        </w:rPr>
        <w:t xml:space="preserve"> </w:t>
      </w:r>
      <w:r w:rsidRPr="003B6CA6">
        <w:rPr>
          <w:sz w:val="18"/>
          <w:szCs w:val="18"/>
        </w:rPr>
        <w:t>.Successful treatment requires rigorous clinical and radiographic examination that allows reasoned decision-making ranging from therapeutic abstention to active repositioning</w:t>
      </w:r>
    </w:p>
    <w:p w:rsidR="001A3B27" w:rsidRPr="001A3B27" w:rsidRDefault="001A3B27" w:rsidP="001A3B27">
      <w:pPr>
        <w:pStyle w:val="Titre1"/>
        <w:spacing w:before="0" w:line="240" w:lineRule="auto"/>
        <w:rPr>
          <w:rFonts w:ascii="Calibri" w:eastAsia="Calibri" w:hAnsi="Calibri" w:cs="Calibri"/>
          <w:b w:val="0"/>
          <w:bCs w:val="0"/>
          <w:sz w:val="18"/>
          <w:szCs w:val="22"/>
        </w:rPr>
      </w:pPr>
    </w:p>
    <w:p w:rsidR="00AE3E37" w:rsidRDefault="00D07070" w:rsidP="005722A2">
      <w:r>
        <w:rPr>
          <w:noProof/>
          <w:lang w:val="fr-FR" w:eastAsia="fr-FR"/>
        </w:rPr>
        <w:drawing>
          <wp:anchor distT="0" distB="0" distL="114300" distR="114300" simplePos="0" relativeHeight="536" behindDoc="1" locked="0" layoutInCell="1" allowOverlap="1">
            <wp:simplePos x="0" y="0"/>
            <wp:positionH relativeFrom="column">
              <wp:posOffset>3930650</wp:posOffset>
            </wp:positionH>
            <wp:positionV relativeFrom="paragraph">
              <wp:posOffset>-4867275</wp:posOffset>
            </wp:positionV>
            <wp:extent cx="2362200" cy="1447800"/>
            <wp:effectExtent l="19050" t="0" r="0" b="0"/>
            <wp:wrapNone/>
            <wp:docPr id="27" name="Imag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9"/>
                    <a:srcRect b="17391"/>
                    <a:stretch>
                      <a:fillRect/>
                    </a:stretch>
                  </pic:blipFill>
                  <pic:spPr bwMode="auto">
                    <a:xfrm>
                      <a:off x="0" y="0"/>
                      <a:ext cx="2362200" cy="1447800"/>
                    </a:xfrm>
                    <a:prstGeom prst="rect">
                      <a:avLst/>
                    </a:prstGeom>
                    <a:noFill/>
                    <a:ln w="9525">
                      <a:noFill/>
                      <a:miter lim="800000"/>
                      <a:headEnd/>
                      <a:tailEnd/>
                    </a:ln>
                  </pic:spPr>
                </pic:pic>
              </a:graphicData>
            </a:graphic>
          </wp:anchor>
        </w:drawing>
      </w:r>
      <w:r w:rsidR="00A9710C">
        <w:br w:type="column"/>
      </w:r>
      <w:r w:rsidR="00A9710C">
        <w:rPr>
          <w:color w:val="BF5A14"/>
        </w:rPr>
        <w:lastRenderedPageBreak/>
        <w:t>Image</w:t>
      </w:r>
    </w:p>
    <w:p w:rsidR="00AE3E37" w:rsidRDefault="00AE3E37">
      <w:pPr>
        <w:pStyle w:val="Corpsdetexte"/>
        <w:spacing w:before="2"/>
        <w:rPr>
          <w:rFonts w:ascii="Arial"/>
          <w:b/>
          <w:sz w:val="16"/>
        </w:rPr>
      </w:pPr>
    </w:p>
    <w:p w:rsidR="00D07070" w:rsidRDefault="005973B9" w:rsidP="005973B9">
      <w:pPr>
        <w:spacing w:line="204" w:lineRule="exact"/>
        <w:rPr>
          <w:rFonts w:ascii="Arial"/>
          <w:b/>
          <w:color w:val="BF5A14"/>
          <w:sz w:val="20"/>
        </w:rPr>
      </w:pPr>
      <w:r>
        <w:rPr>
          <w:rFonts w:ascii="Arial"/>
          <w:b/>
          <w:color w:val="BF5A14"/>
          <w:sz w:val="20"/>
        </w:rPr>
        <w:br/>
      </w: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924C7F" w:rsidP="005973B9">
      <w:pPr>
        <w:spacing w:line="204" w:lineRule="exact"/>
        <w:rPr>
          <w:rFonts w:ascii="Arial"/>
          <w:b/>
          <w:color w:val="BF5A14"/>
          <w:sz w:val="20"/>
        </w:rPr>
      </w:pPr>
      <w:r>
        <w:rPr>
          <w:rFonts w:ascii="Arial"/>
          <w:b/>
          <w:noProof/>
          <w:color w:val="BF5A14"/>
          <w:sz w:val="20"/>
          <w:lang w:val="fr-FR" w:eastAsia="fr-FR"/>
        </w:rPr>
        <w:drawing>
          <wp:anchor distT="0" distB="0" distL="114300" distR="114300" simplePos="0" relativeHeight="251660288" behindDoc="0" locked="0" layoutInCell="1" allowOverlap="1">
            <wp:simplePos x="0" y="0"/>
            <wp:positionH relativeFrom="column">
              <wp:posOffset>379730</wp:posOffset>
            </wp:positionH>
            <wp:positionV relativeFrom="paragraph">
              <wp:posOffset>82550</wp:posOffset>
            </wp:positionV>
            <wp:extent cx="2876550" cy="495300"/>
            <wp:effectExtent l="0" t="0" r="0" b="0"/>
            <wp:wrapNone/>
            <wp:docPr id="6" name="Objet 17"/>
            <wp:cNvGraphicFramePr/>
            <a:graphic xmlns:a="http://schemas.openxmlformats.org/drawingml/2006/main">
              <a:graphicData uri="http://schemas.openxmlformats.org/drawingml/2006/lockedCanvas">
                <lc:lockedCanvas xmlns:lc="http://schemas.openxmlformats.org/drawingml/2006/lockedCanvas">
                  <a:nvGrpSpPr>
                    <a:cNvPr id="0" name=""/>
                    <a:cNvGrpSpPr/>
                  </a:nvGrpSpPr>
                  <a:grpSpPr>
                    <a:xfrm>
                      <a:off x="0" y="0"/>
                      <a:ext cx="2871299" cy="492443"/>
                      <a:chOff x="57627" y="3500438"/>
                      <a:chExt cx="2871299" cy="492443"/>
                    </a:xfrm>
                  </a:grpSpPr>
                  <a:sp>
                    <a:nvSpPr>
                      <a:cNvPr id="1033" name="Rectangle 9"/>
                      <a:cNvSpPr>
                        <a:spLocks noChangeArrowheads="1"/>
                      </a:cNvSpPr>
                    </a:nvSpPr>
                    <a:spPr bwMode="auto">
                      <a:xfrm>
                        <a:off x="57627" y="3500438"/>
                        <a:ext cx="2871299" cy="492443"/>
                      </a:xfrm>
                      <a:prstGeom prst="rect">
                        <a:avLst/>
                      </a:prstGeom>
                      <a:noFill/>
                      <a:ln w="9525">
                        <a:noFill/>
                        <a:miter lim="800000"/>
                        <a:headEnd/>
                        <a:tailEnd/>
                      </a:ln>
                      <a:effectLst/>
                    </a:spPr>
                    <a:txSp>
                      <a:txBody>
                        <a:bodyPr vert="horz" wrap="none" lIns="91440" tIns="45720" rIns="91440" bIns="45720" numCol="1" anchor="ctr" anchorCtr="0" compatLnSpc="1">
                          <a:prstTxWarp prst="textNoShape">
                            <a:avLst/>
                          </a:prstTxWarp>
                          <a:spAutoFit/>
                        </a:bodyPr>
                        <a:lstStyle>
                          <a:defPPr>
                            <a:defRPr lang="fr-FR"/>
                          </a:defPPr>
                          <a:lvl1pPr marL="0" algn="l" defTabSz="914400" rtl="0" eaLnBrk="1" latinLnBrk="0" hangingPunct="1">
                            <a:defRPr sz="1800" kern="1200">
                              <a:solidFill>
                                <a:schemeClr val="tx1"/>
                              </a:solidFill>
                              <a:latin typeface="+mn-lt"/>
                              <a:ea typeface="+mn-ea"/>
                              <a:cs typeface="+mn-cs"/>
                            </a:defRPr>
                          </a:lvl1pPr>
                          <a:lvl2pPr marL="457200" algn="l" defTabSz="914400" rtl="0" eaLnBrk="1" latinLnBrk="0" hangingPunct="1">
                            <a:defRPr sz="1800" kern="1200">
                              <a:solidFill>
                                <a:schemeClr val="tx1"/>
                              </a:solidFill>
                              <a:latin typeface="+mn-lt"/>
                              <a:ea typeface="+mn-ea"/>
                              <a:cs typeface="+mn-cs"/>
                            </a:defRPr>
                          </a:lvl2pPr>
                          <a:lvl3pPr marL="914400" algn="l" defTabSz="914400" rtl="0" eaLnBrk="1" latinLnBrk="0" hangingPunct="1">
                            <a:defRPr sz="1800" kern="1200">
                              <a:solidFill>
                                <a:schemeClr val="tx1"/>
                              </a:solidFill>
                              <a:latin typeface="+mn-lt"/>
                              <a:ea typeface="+mn-ea"/>
                              <a:cs typeface="+mn-cs"/>
                            </a:defRPr>
                          </a:lvl3pPr>
                          <a:lvl4pPr marL="1371600" algn="l" defTabSz="914400" rtl="0" eaLnBrk="1" latinLnBrk="0" hangingPunct="1">
                            <a:defRPr sz="1800" kern="1200">
                              <a:solidFill>
                                <a:schemeClr val="tx1"/>
                              </a:solidFill>
                              <a:latin typeface="+mn-lt"/>
                              <a:ea typeface="+mn-ea"/>
                              <a:cs typeface="+mn-cs"/>
                            </a:defRPr>
                          </a:lvl4pPr>
                          <a:lvl5pPr marL="1828800" algn="l" defTabSz="914400" rtl="0" eaLnBrk="1" latinLnBrk="0" hangingPunct="1">
                            <a:defRPr sz="1800" kern="1200">
                              <a:solidFill>
                                <a:schemeClr val="tx1"/>
                              </a:solidFill>
                              <a:latin typeface="+mn-lt"/>
                              <a:ea typeface="+mn-ea"/>
                              <a:cs typeface="+mn-cs"/>
                            </a:defRPr>
                          </a:lvl5pPr>
                          <a:lvl6pPr marL="2286000" algn="l" defTabSz="914400" rtl="0" eaLnBrk="1" latinLnBrk="0" hangingPunct="1">
                            <a:defRPr sz="1800" kern="1200">
                              <a:solidFill>
                                <a:schemeClr val="tx1"/>
                              </a:solidFill>
                              <a:latin typeface="+mn-lt"/>
                              <a:ea typeface="+mn-ea"/>
                              <a:cs typeface="+mn-cs"/>
                            </a:defRPr>
                          </a:lvl6pPr>
                          <a:lvl7pPr marL="2743200" algn="l" defTabSz="914400" rtl="0" eaLnBrk="1" latinLnBrk="0" hangingPunct="1">
                            <a:defRPr sz="1800" kern="1200">
                              <a:solidFill>
                                <a:schemeClr val="tx1"/>
                              </a:solidFill>
                              <a:latin typeface="+mn-lt"/>
                              <a:ea typeface="+mn-ea"/>
                              <a:cs typeface="+mn-cs"/>
                            </a:defRPr>
                          </a:lvl7pPr>
                          <a:lvl8pPr marL="3200400" algn="l" defTabSz="914400" rtl="0" eaLnBrk="1" latinLnBrk="0" hangingPunct="1">
                            <a:defRPr sz="1800" kern="1200">
                              <a:solidFill>
                                <a:schemeClr val="tx1"/>
                              </a:solidFill>
                              <a:latin typeface="+mn-lt"/>
                              <a:ea typeface="+mn-ea"/>
                              <a:cs typeface="+mn-cs"/>
                            </a:defRPr>
                          </a:lvl8pPr>
                          <a:lvl9pPr marL="3657600" algn="l" defTabSz="914400" rtl="0" eaLnBrk="1" latinLnBrk="0" hangingPunct="1">
                            <a:defRPr sz="1800" kern="1200">
                              <a:solidFill>
                                <a:schemeClr val="tx1"/>
                              </a:solidFill>
                              <a:latin typeface="+mn-lt"/>
                              <a:ea typeface="+mn-ea"/>
                              <a:cs typeface="+mn-cs"/>
                            </a:defRPr>
                          </a:lvl9pPr>
                        </a:lstStyle>
                        <a:p>
                          <a:pPr marL="0" marR="0" lvl="0" indent="0" algn="l" defTabSz="914400" rtl="0" eaLnBrk="1" fontAlgn="base" latinLnBrk="0" hangingPunct="1">
                            <a:lnSpc>
                              <a:spcPct val="100000"/>
                            </a:lnSpc>
                            <a:spcBef>
                              <a:spcPct val="0"/>
                            </a:spcBef>
                            <a:spcAft>
                              <a:spcPct val="0"/>
                            </a:spcAft>
                            <a:buClrTx/>
                            <a:buSzTx/>
                            <a:buFontTx/>
                            <a:buNone/>
                            <a:tabLst/>
                          </a:pPr>
                          <a:r>
                            <a:rPr kumimoji="0" lang="en-US" sz="1300" b="0" i="0" u="none" strike="noStrike" cap="none" normalizeH="0" baseline="0" dirty="0" smtClean="0">
                              <a:ln>
                                <a:noFill/>
                              </a:ln>
                              <a:solidFill>
                                <a:schemeClr val="tx1"/>
                              </a:solidFill>
                              <a:effectLst/>
                              <a:latin typeface="Minion Pro"/>
                              <a:ea typeface="Tw Cen MT" pitchFamily="34" charset="0"/>
                              <a:cs typeface="Tw Cen MT" pitchFamily="34" charset="0"/>
                            </a:rPr>
                            <a:t>Before/after the management of  the</a:t>
                          </a:r>
                          <a:endParaRPr kumimoji="0" lang="fr-FR" sz="800" b="0" i="0" u="none" strike="noStrike" cap="none" normalizeH="0" baseline="0" dirty="0" smtClean="0">
                            <a:ln>
                              <a:noFill/>
                            </a:ln>
                            <a:solidFill>
                              <a:schemeClr val="tx1"/>
                            </a:solidFill>
                            <a:effectLst/>
                            <a:latin typeface="Arial" pitchFamily="34" charset="0"/>
                            <a:cs typeface="Arial" pitchFamily="34" charset="0"/>
                          </a:endParaRPr>
                        </a:p>
                        <a:p>
                          <a:pPr marL="0" marR="0" lvl="0" indent="0" algn="l" defTabSz="914400" rtl="0" eaLnBrk="0" fontAlgn="base" latinLnBrk="0" hangingPunct="0">
                            <a:lnSpc>
                              <a:spcPct val="100000"/>
                            </a:lnSpc>
                            <a:spcBef>
                              <a:spcPct val="0"/>
                            </a:spcBef>
                            <a:spcAft>
                              <a:spcPct val="0"/>
                            </a:spcAft>
                            <a:buClrTx/>
                            <a:buSzTx/>
                            <a:buFontTx/>
                            <a:buNone/>
                            <a:tabLst/>
                          </a:pPr>
                          <a:r>
                            <a:rPr kumimoji="0" lang="en-US" sz="1300" b="0" i="0" u="none" strike="noStrike" cap="none" normalizeH="0" baseline="0" dirty="0" smtClean="0">
                              <a:ln>
                                <a:noFill/>
                              </a:ln>
                              <a:solidFill>
                                <a:schemeClr val="tx1"/>
                              </a:solidFill>
                              <a:effectLst/>
                              <a:latin typeface="Minion Pro"/>
                              <a:ea typeface="Tw Cen MT" pitchFamily="34" charset="0"/>
                              <a:cs typeface="Tw Cen MT" pitchFamily="34" charset="0"/>
                            </a:rPr>
                            <a:t> two cases</a:t>
                          </a:r>
                          <a:endParaRPr kumimoji="0" lang="en-US" sz="1800" b="0" i="0" u="none" strike="noStrike" cap="none" normalizeH="0" baseline="0" dirty="0" smtClean="0">
                            <a:ln>
                              <a:noFill/>
                            </a:ln>
                            <a:solidFill>
                              <a:schemeClr val="tx1"/>
                            </a:solidFill>
                            <a:effectLst/>
                            <a:latin typeface="Arial" pitchFamily="34" charset="0"/>
                            <a:cs typeface="Arial" pitchFamily="34" charset="0"/>
                          </a:endParaRPr>
                        </a:p>
                      </a:txBody>
                      <a:useSpRect/>
                    </a:txSp>
                  </a:sp>
                </lc:lockedCanvas>
              </a:graphicData>
            </a:graphic>
          </wp:anchor>
        </w:drawing>
      </w: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D07070" w:rsidRDefault="00D07070" w:rsidP="005973B9">
      <w:pPr>
        <w:spacing w:line="204" w:lineRule="exact"/>
        <w:rPr>
          <w:rFonts w:ascii="Arial"/>
          <w:b/>
          <w:color w:val="BF5A14"/>
          <w:sz w:val="20"/>
        </w:rPr>
      </w:pPr>
    </w:p>
    <w:p w:rsidR="005973B9" w:rsidRDefault="005973B9" w:rsidP="005973B9">
      <w:pPr>
        <w:spacing w:line="204" w:lineRule="exact"/>
        <w:rPr>
          <w:rFonts w:ascii="Arial"/>
          <w:b/>
          <w:sz w:val="20"/>
        </w:rPr>
      </w:pPr>
      <w:r>
        <w:rPr>
          <w:rFonts w:ascii="Arial"/>
          <w:b/>
          <w:color w:val="BF5A14"/>
          <w:sz w:val="20"/>
        </w:rPr>
        <w:t xml:space="preserve">Recent Publications </w:t>
      </w:r>
    </w:p>
    <w:p w:rsidR="001A3B27" w:rsidRPr="005722A2" w:rsidRDefault="00F17FE7" w:rsidP="001A3B27">
      <w:pPr>
        <w:pStyle w:val="desc"/>
        <w:numPr>
          <w:ilvl w:val="0"/>
          <w:numId w:val="3"/>
        </w:numPr>
        <w:rPr>
          <w:rFonts w:ascii="Calibri" w:eastAsia="Calibri" w:hAnsi="Calibri" w:cs="Calibri"/>
          <w:sz w:val="18"/>
          <w:szCs w:val="22"/>
          <w:lang w:val="en-US" w:eastAsia="en-US"/>
        </w:rPr>
      </w:pPr>
      <w:r>
        <w:rPr>
          <w:rFonts w:ascii="Calibri" w:eastAsia="Calibri" w:hAnsi="Calibri" w:cs="Calibri"/>
          <w:sz w:val="18"/>
          <w:szCs w:val="22"/>
          <w:lang w:val="en-US" w:eastAsia="en-US"/>
        </w:rPr>
        <w:t>AAPD</w:t>
      </w:r>
      <w:r w:rsidR="001A3B27" w:rsidRPr="005722A2">
        <w:rPr>
          <w:rFonts w:ascii="Calibri" w:eastAsia="Calibri" w:hAnsi="Calibri" w:cs="Calibri"/>
          <w:sz w:val="18"/>
          <w:szCs w:val="22"/>
          <w:lang w:val="en-US" w:eastAsia="en-US"/>
        </w:rPr>
        <w:t>.</w:t>
      </w:r>
      <w:hyperlink r:id="rId10" w:history="1">
        <w:r w:rsidR="001A3B27" w:rsidRPr="005722A2">
          <w:rPr>
            <w:rFonts w:ascii="Calibri" w:eastAsia="Calibri" w:hAnsi="Calibri" w:cs="Calibri"/>
            <w:sz w:val="18"/>
            <w:szCs w:val="22"/>
            <w:lang w:val="en-US" w:eastAsia="en-US"/>
          </w:rPr>
          <w:t>Guidelines for the Management of Traumatic Dental Injuries: 1.Fractures and Luxations of Permanent Teeth.</w:t>
        </w:r>
      </w:hyperlink>
      <w:r w:rsidR="001A3B27" w:rsidRPr="005722A2">
        <w:rPr>
          <w:rFonts w:ascii="Calibri" w:eastAsia="Calibri" w:hAnsi="Calibri" w:cs="Calibri"/>
          <w:sz w:val="18"/>
          <w:szCs w:val="22"/>
          <w:lang w:val="en-US" w:eastAsia="en-US"/>
        </w:rPr>
        <w:t xml:space="preserve"> Pediatr Dent. 2017 Sep 15;39(6):401-411</w:t>
      </w:r>
    </w:p>
    <w:p w:rsidR="001A3B27" w:rsidRPr="005722A2" w:rsidRDefault="00F456FD" w:rsidP="001A3B27">
      <w:pPr>
        <w:pStyle w:val="Titre1"/>
        <w:numPr>
          <w:ilvl w:val="0"/>
          <w:numId w:val="3"/>
        </w:numPr>
        <w:spacing w:before="0" w:line="240" w:lineRule="auto"/>
        <w:rPr>
          <w:rFonts w:ascii="Calibri" w:eastAsia="Calibri" w:hAnsi="Calibri" w:cs="Calibri"/>
          <w:b w:val="0"/>
          <w:bCs w:val="0"/>
          <w:sz w:val="18"/>
          <w:szCs w:val="22"/>
        </w:rPr>
      </w:pPr>
      <w:hyperlink r:id="rId11" w:history="1">
        <w:r w:rsidR="001A3B27" w:rsidRPr="005722A2">
          <w:rPr>
            <w:rFonts w:ascii="Calibri" w:eastAsia="Calibri" w:hAnsi="Calibri" w:cs="Calibri"/>
            <w:b w:val="0"/>
            <w:bCs w:val="0"/>
            <w:sz w:val="18"/>
            <w:szCs w:val="22"/>
          </w:rPr>
          <w:t>Costa LA</w:t>
        </w:r>
      </w:hyperlink>
      <w:r w:rsidR="001A3B27" w:rsidRPr="005722A2">
        <w:rPr>
          <w:rFonts w:ascii="Calibri" w:eastAsia="Calibri" w:hAnsi="Calibri" w:cs="Calibri"/>
          <w:b w:val="0"/>
          <w:bCs w:val="0"/>
          <w:sz w:val="18"/>
          <w:szCs w:val="22"/>
        </w:rPr>
        <w:t xml:space="preserve">, </w:t>
      </w:r>
      <w:hyperlink r:id="rId12" w:history="1">
        <w:r w:rsidR="001A3B27" w:rsidRPr="005722A2">
          <w:rPr>
            <w:rFonts w:ascii="Calibri" w:eastAsia="Calibri" w:hAnsi="Calibri" w:cs="Calibri"/>
            <w:b w:val="0"/>
            <w:bCs w:val="0"/>
            <w:sz w:val="18"/>
            <w:szCs w:val="22"/>
          </w:rPr>
          <w:t>Ribeiro CC</w:t>
        </w:r>
      </w:hyperlink>
      <w:r w:rsidR="001A3B27" w:rsidRPr="005722A2">
        <w:rPr>
          <w:rFonts w:ascii="Calibri" w:eastAsia="Calibri" w:hAnsi="Calibri" w:cs="Calibri"/>
          <w:b w:val="0"/>
          <w:bCs w:val="0"/>
          <w:sz w:val="18"/>
          <w:szCs w:val="22"/>
        </w:rPr>
        <w:t xml:space="preserve">, </w:t>
      </w:r>
      <w:hyperlink r:id="rId13" w:history="1">
        <w:r w:rsidR="001A3B27" w:rsidRPr="005722A2">
          <w:rPr>
            <w:rFonts w:ascii="Calibri" w:eastAsia="Calibri" w:hAnsi="Calibri" w:cs="Calibri"/>
            <w:b w:val="0"/>
            <w:bCs w:val="0"/>
            <w:sz w:val="18"/>
            <w:szCs w:val="22"/>
          </w:rPr>
          <w:t>Cantanhede LM</w:t>
        </w:r>
      </w:hyperlink>
      <w:r w:rsidR="001A3B27" w:rsidRPr="005722A2">
        <w:rPr>
          <w:rFonts w:ascii="Calibri" w:eastAsia="Calibri" w:hAnsi="Calibri" w:cs="Calibri"/>
          <w:b w:val="0"/>
          <w:bCs w:val="0"/>
          <w:sz w:val="18"/>
          <w:szCs w:val="22"/>
        </w:rPr>
        <w:t xml:space="preserve">,  </w:t>
      </w:r>
      <w:hyperlink r:id="rId14" w:history="1">
        <w:r w:rsidR="001A3B27" w:rsidRPr="005722A2">
          <w:rPr>
            <w:rFonts w:ascii="Calibri" w:eastAsia="Calibri" w:hAnsi="Calibri" w:cs="Calibri"/>
            <w:b w:val="0"/>
            <w:bCs w:val="0"/>
            <w:sz w:val="18"/>
            <w:szCs w:val="22"/>
          </w:rPr>
          <w:t>Santiago Júnior JF</w:t>
        </w:r>
      </w:hyperlink>
      <w:r w:rsidR="001A3B27" w:rsidRPr="005722A2">
        <w:rPr>
          <w:rFonts w:ascii="Calibri" w:eastAsia="Calibri" w:hAnsi="Calibri" w:cs="Calibri"/>
          <w:b w:val="0"/>
          <w:bCs w:val="0"/>
          <w:sz w:val="18"/>
          <w:szCs w:val="22"/>
        </w:rPr>
        <w:t xml:space="preserve">, </w:t>
      </w:r>
      <w:hyperlink r:id="rId15" w:history="1">
        <w:r w:rsidR="001A3B27" w:rsidRPr="005722A2">
          <w:rPr>
            <w:rFonts w:ascii="Calibri" w:eastAsia="Calibri" w:hAnsi="Calibri" w:cs="Calibri"/>
            <w:b w:val="0"/>
            <w:bCs w:val="0"/>
            <w:sz w:val="18"/>
            <w:szCs w:val="22"/>
          </w:rPr>
          <w:t>de Mendonça MR</w:t>
        </w:r>
      </w:hyperlink>
      <w:r w:rsidR="001A3B27" w:rsidRPr="005722A2">
        <w:rPr>
          <w:rFonts w:ascii="Calibri" w:eastAsia="Calibri" w:hAnsi="Calibri" w:cs="Calibri"/>
          <w:b w:val="0"/>
          <w:bCs w:val="0"/>
          <w:sz w:val="18"/>
          <w:szCs w:val="22"/>
        </w:rPr>
        <w:t xml:space="preserve">, </w:t>
      </w:r>
      <w:hyperlink r:id="rId16" w:history="1">
        <w:r w:rsidR="001A3B27" w:rsidRPr="005722A2">
          <w:rPr>
            <w:rFonts w:ascii="Calibri" w:eastAsia="Calibri" w:hAnsi="Calibri" w:cs="Calibri"/>
            <w:b w:val="0"/>
            <w:bCs w:val="0"/>
            <w:sz w:val="18"/>
            <w:szCs w:val="22"/>
          </w:rPr>
          <w:t>Pereira AL</w:t>
        </w:r>
      </w:hyperlink>
      <w:r w:rsidR="001A3B27" w:rsidRPr="005722A2">
        <w:rPr>
          <w:rFonts w:ascii="Calibri" w:eastAsia="Calibri" w:hAnsi="Calibri" w:cs="Calibri"/>
          <w:b w:val="0"/>
          <w:bCs w:val="0"/>
          <w:sz w:val="18"/>
          <w:szCs w:val="22"/>
        </w:rPr>
        <w:t xml:space="preserve">. Treatments for intrusive luxation in permanent teeth: a systematic review and meta-analysis. </w:t>
      </w:r>
      <w:hyperlink r:id="rId17" w:tooltip="International journal of oral and maxillofacial surgery." w:history="1">
        <w:r w:rsidR="001A3B27" w:rsidRPr="005722A2">
          <w:rPr>
            <w:rFonts w:ascii="Calibri" w:eastAsia="Calibri" w:hAnsi="Calibri" w:cs="Calibri"/>
            <w:b w:val="0"/>
            <w:sz w:val="18"/>
            <w:szCs w:val="22"/>
          </w:rPr>
          <w:t>Int J Oral Maxillofac Surg.</w:t>
        </w:r>
      </w:hyperlink>
      <w:r w:rsidR="001A3B27" w:rsidRPr="005722A2">
        <w:rPr>
          <w:rFonts w:ascii="Calibri" w:eastAsia="Calibri" w:hAnsi="Calibri" w:cs="Calibri"/>
          <w:b w:val="0"/>
          <w:sz w:val="18"/>
          <w:szCs w:val="22"/>
        </w:rPr>
        <w:t xml:space="preserve"> 2017 Feb;46(2):214-229</w:t>
      </w:r>
    </w:p>
    <w:p w:rsidR="005973B9" w:rsidRPr="005722A2" w:rsidRDefault="005722A2" w:rsidP="005722A2">
      <w:pPr>
        <w:pStyle w:val="Paragraphedeliste"/>
        <w:numPr>
          <w:ilvl w:val="0"/>
          <w:numId w:val="3"/>
        </w:numPr>
        <w:tabs>
          <w:tab w:val="left" w:pos="384"/>
        </w:tabs>
        <w:spacing w:before="92" w:line="218" w:lineRule="exact"/>
        <w:rPr>
          <w:sz w:val="18"/>
        </w:rPr>
      </w:pPr>
      <w:r w:rsidRPr="005722A2">
        <w:rPr>
          <w:sz w:val="18"/>
        </w:rPr>
        <w:t xml:space="preserve">Elkhadem A, Kotb A </w:t>
      </w:r>
      <w:hyperlink r:id="rId18" w:history="1">
        <w:r w:rsidRPr="005722A2">
          <w:rPr>
            <w:sz w:val="18"/>
          </w:rPr>
          <w:t>Spontaneous re-eruption, surgical or orthodontic extrusion: What is the choice for intrusive luxation in permanent teeth?</w:t>
        </w:r>
      </w:hyperlink>
      <w:r w:rsidRPr="005722A2">
        <w:rPr>
          <w:sz w:val="18"/>
        </w:rPr>
        <w:t xml:space="preserve"> Evid Based Dent. 2017 Oct 27;18(3):74.</w:t>
      </w:r>
    </w:p>
    <w:p w:rsidR="005973B9" w:rsidRPr="005722A2" w:rsidRDefault="005722A2" w:rsidP="005722A2">
      <w:pPr>
        <w:pStyle w:val="title"/>
        <w:numPr>
          <w:ilvl w:val="0"/>
          <w:numId w:val="3"/>
        </w:numPr>
        <w:rPr>
          <w:rFonts w:ascii="Calibri" w:eastAsia="Calibri" w:hAnsi="Calibri" w:cs="Calibri"/>
          <w:sz w:val="18"/>
          <w:szCs w:val="22"/>
          <w:lang w:val="en-US" w:eastAsia="en-US"/>
        </w:rPr>
      </w:pPr>
      <w:r w:rsidRPr="005722A2">
        <w:rPr>
          <w:rFonts w:ascii="Calibri" w:eastAsia="Calibri" w:hAnsi="Calibri" w:cs="Calibri"/>
          <w:sz w:val="18"/>
          <w:szCs w:val="22"/>
          <w:lang w:val="en-US" w:eastAsia="en-US"/>
        </w:rPr>
        <w:t xml:space="preserve">AlKhalifa JD, AlAzemi A.  </w:t>
      </w:r>
      <w:hyperlink r:id="rId19" w:history="1">
        <w:r w:rsidRPr="005722A2">
          <w:rPr>
            <w:rFonts w:ascii="Calibri" w:eastAsia="Calibri" w:hAnsi="Calibri" w:cs="Calibri"/>
            <w:sz w:val="18"/>
            <w:szCs w:val="22"/>
            <w:lang w:val="en-US" w:eastAsia="en-US"/>
          </w:rPr>
          <w:t>Intrusive luxation of permanent teeth: a systematic review of factors important for treatment decision-making.</w:t>
        </w:r>
      </w:hyperlink>
      <w:r w:rsidRPr="005722A2">
        <w:rPr>
          <w:rFonts w:ascii="Calibri" w:eastAsia="Calibri" w:hAnsi="Calibri" w:cs="Calibri"/>
          <w:sz w:val="18"/>
          <w:szCs w:val="22"/>
          <w:lang w:val="en-US" w:eastAsia="en-US"/>
        </w:rPr>
        <w:t>Dent Traumatol. 2014 Jun;30(3):169-75</w:t>
      </w:r>
    </w:p>
    <w:p w:rsidR="005722A2" w:rsidRPr="005722A2" w:rsidRDefault="005722A2" w:rsidP="005722A2">
      <w:pPr>
        <w:pStyle w:val="desc"/>
        <w:numPr>
          <w:ilvl w:val="0"/>
          <w:numId w:val="3"/>
        </w:numPr>
        <w:rPr>
          <w:rFonts w:ascii="Calibri" w:eastAsia="Tw Cen MT" w:hAnsi="Calibri" w:cs="Tw Cen MT"/>
          <w:spacing w:val="-5"/>
          <w:sz w:val="18"/>
          <w:szCs w:val="18"/>
          <w:lang w:val="en-US" w:eastAsia="en-US"/>
        </w:rPr>
      </w:pPr>
      <w:r w:rsidRPr="005722A2">
        <w:rPr>
          <w:rFonts w:ascii="Calibri" w:eastAsia="Tw Cen MT" w:hAnsi="Calibri" w:cs="Tw Cen MT"/>
          <w:spacing w:val="-5"/>
          <w:sz w:val="18"/>
          <w:szCs w:val="18"/>
          <w:lang w:val="en-US" w:eastAsia="en-US"/>
        </w:rPr>
        <w:t xml:space="preserve">Soares TRC, Silva LP, Salazar SLA, Luiz RR, Risso PA, Maia LC. </w:t>
      </w:r>
      <w:hyperlink r:id="rId20" w:history="1">
        <w:r w:rsidRPr="005722A2">
          <w:rPr>
            <w:rFonts w:ascii="Calibri" w:eastAsia="Tw Cen MT" w:hAnsi="Calibri" w:cs="Tw Cen MT"/>
            <w:spacing w:val="-5"/>
            <w:sz w:val="18"/>
            <w:szCs w:val="18"/>
            <w:lang w:val="en-US" w:eastAsia="en-US"/>
          </w:rPr>
          <w:t>Profile of intrusive luxation and healing complications in deciduous and permanent teeth - a retrospective study.</w:t>
        </w:r>
      </w:hyperlink>
      <w:r w:rsidRPr="005722A2">
        <w:rPr>
          <w:rFonts w:ascii="Calibri" w:eastAsia="Tw Cen MT" w:hAnsi="Calibri" w:cs="Tw Cen MT"/>
          <w:spacing w:val="-5"/>
          <w:sz w:val="18"/>
          <w:szCs w:val="18"/>
          <w:lang w:val="en-US" w:eastAsia="en-US"/>
        </w:rPr>
        <w:t xml:space="preserve"> Acta Odontol Scand. 2018 Nov;76(8):567-57</w:t>
      </w:r>
      <w:r w:rsidR="005973B9" w:rsidRPr="005722A2">
        <w:rPr>
          <w:rFonts w:ascii="Calibri"/>
          <w:lang w:val="en-US"/>
        </w:rPr>
        <w:t>.</w:t>
      </w:r>
    </w:p>
    <w:p w:rsidR="005722A2" w:rsidRPr="005722A2" w:rsidRDefault="005973B9" w:rsidP="005722A2">
      <w:pPr>
        <w:pStyle w:val="desc"/>
        <w:numPr>
          <w:ilvl w:val="0"/>
          <w:numId w:val="3"/>
        </w:numPr>
        <w:rPr>
          <w:rFonts w:ascii="Calibri" w:eastAsia="Tw Cen MT" w:hAnsi="Calibri" w:cs="Tw Cen MT"/>
          <w:spacing w:val="-5"/>
          <w:sz w:val="18"/>
          <w:szCs w:val="18"/>
          <w:lang w:val="en-US" w:eastAsia="en-US"/>
        </w:rPr>
      </w:pPr>
      <w:r w:rsidRPr="005722A2">
        <w:rPr>
          <w:rFonts w:ascii="Calibri" w:hAnsi="Calibri"/>
          <w:lang w:val="en-US"/>
        </w:rPr>
        <w:t xml:space="preserve"> </w:t>
      </w:r>
      <w:r w:rsidR="005722A2" w:rsidRPr="005722A2">
        <w:rPr>
          <w:rFonts w:ascii="Calibri" w:eastAsia="Tw Cen MT" w:hAnsi="Calibri" w:cs="Tw Cen MT"/>
          <w:spacing w:val="-5"/>
          <w:sz w:val="18"/>
          <w:szCs w:val="18"/>
          <w:lang w:val="en-US" w:eastAsia="en-US"/>
        </w:rPr>
        <w:t xml:space="preserve">Tzanetakis GN </w:t>
      </w:r>
      <w:hyperlink r:id="rId21" w:history="1">
        <w:r w:rsidR="005722A2" w:rsidRPr="005722A2">
          <w:rPr>
            <w:rFonts w:ascii="Calibri" w:eastAsia="Tw Cen MT" w:hAnsi="Calibri" w:cs="Tw Cen MT"/>
            <w:spacing w:val="-5"/>
            <w:sz w:val="18"/>
            <w:szCs w:val="18"/>
            <w:lang w:val="en-US" w:eastAsia="en-US"/>
          </w:rPr>
          <w:t>Management of Intruded Immature Maxillary Central Incisor with Pulp Necrosis and Severe External Resorption by Regenerative Approach.</w:t>
        </w:r>
      </w:hyperlink>
      <w:r w:rsidR="005722A2" w:rsidRPr="005722A2">
        <w:rPr>
          <w:rFonts w:ascii="Calibri" w:eastAsia="Tw Cen MT" w:hAnsi="Calibri" w:cs="Tw Cen MT"/>
          <w:spacing w:val="-5"/>
          <w:sz w:val="18"/>
          <w:szCs w:val="18"/>
          <w:lang w:val="en-US" w:eastAsia="en-US"/>
        </w:rPr>
        <w:t xml:space="preserve"> J Endod. 2018 Feb;44(2):245-249.</w:t>
      </w:r>
    </w:p>
    <w:p w:rsidR="00AE3E37" w:rsidRPr="008756E6" w:rsidRDefault="00AE3E37" w:rsidP="005722A2">
      <w:pPr>
        <w:pStyle w:val="Corpsdetexte"/>
        <w:spacing w:before="85" w:line="216" w:lineRule="exact"/>
        <w:ind w:left="383" w:right="138" w:hanging="284"/>
        <w:jc w:val="both"/>
      </w:pPr>
    </w:p>
    <w:p w:rsidR="00AE3E37" w:rsidRDefault="00AE3E37">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p>
    <w:p w:rsidR="00AE3E37" w:rsidRDefault="00F456FD">
      <w:pPr>
        <w:pStyle w:val="Corpsdetexte"/>
        <w:rPr>
          <w:rFonts w:ascii="Calibri"/>
          <w:sz w:val="20"/>
        </w:rPr>
      </w:pPr>
      <w:r w:rsidRPr="00F456FD">
        <w:rPr>
          <w:rFonts w:ascii="Calibri"/>
          <w:noProof/>
          <w:sz w:val="4"/>
          <w:lang w:val="en-IN" w:eastAsia="en-IN"/>
        </w:rPr>
      </w:r>
      <w:r w:rsidRPr="00F456FD">
        <w:rPr>
          <w:rFonts w:ascii="Calibri"/>
          <w:noProof/>
          <w:sz w:val="4"/>
          <w:lang w:val="en-IN" w:eastAsia="en-IN"/>
        </w:rPr>
        <w:pict>
          <v:group id="Group 4" o:spid="_x0000_s1031"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32"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AE3E37" w:rsidRDefault="00AE3E37">
      <w:pPr>
        <w:pStyle w:val="Corpsdetexte"/>
        <w:spacing w:line="40" w:lineRule="exact"/>
        <w:ind w:left="2202"/>
        <w:rPr>
          <w:rFonts w:ascii="Calibri"/>
          <w:sz w:val="4"/>
        </w:rPr>
      </w:pPr>
    </w:p>
    <w:p w:rsidR="0074609C" w:rsidRPr="005E343F" w:rsidRDefault="00D07070" w:rsidP="005E343F">
      <w:pPr>
        <w:spacing w:before="92"/>
        <w:ind w:right="4234"/>
        <w:rPr>
          <w:rFonts w:ascii="Arial"/>
        </w:rPr>
      </w:pPr>
      <w:r>
        <w:rPr>
          <w:rFonts w:ascii="Arial"/>
          <w:noProof/>
          <w:color w:val="BF5A14"/>
          <w:lang w:val="fr-FR" w:eastAsia="fr-FR"/>
        </w:rPr>
        <w:drawing>
          <wp:anchor distT="0" distB="0" distL="114300" distR="114300" simplePos="0" relativeHeight="251659264" behindDoc="0" locked="0" layoutInCell="1" allowOverlap="1">
            <wp:simplePos x="0" y="0"/>
            <wp:positionH relativeFrom="column">
              <wp:posOffset>5017157</wp:posOffset>
            </wp:positionH>
            <wp:positionV relativeFrom="paragraph">
              <wp:posOffset>-2890</wp:posOffset>
            </wp:positionV>
            <wp:extent cx="706164" cy="851338"/>
            <wp:effectExtent l="19050" t="0" r="0" b="0"/>
            <wp:wrapNone/>
            <wp:docPr id="4" name="Image 2" descr="C:\Users\Merieme\AppData\Local\Temp\46387232_348576019210296_7961763593093906432_n.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Merieme\AppData\Local\Temp\46387232_348576019210296_7961763593093906432_n.png"/>
                    <pic:cNvPicPr>
                      <a:picLocks noChangeAspect="1" noChangeArrowheads="1"/>
                    </pic:cNvPicPr>
                  </pic:nvPicPr>
                  <pic:blipFill>
                    <a:blip r:embed="rId22" cstate="print"/>
                    <a:srcRect l="27552" t="24359" r="12596" b="35470"/>
                    <a:stretch>
                      <a:fillRect/>
                    </a:stretch>
                  </pic:blipFill>
                  <pic:spPr bwMode="auto">
                    <a:xfrm>
                      <a:off x="0" y="0"/>
                      <a:ext cx="706164" cy="851338"/>
                    </a:xfrm>
                    <a:prstGeom prst="rect">
                      <a:avLst/>
                    </a:prstGeom>
                    <a:noFill/>
                    <a:ln w="9525">
                      <a:noFill/>
                      <a:miter lim="800000"/>
                      <a:headEnd/>
                      <a:tailEnd/>
                    </a:ln>
                  </pic:spPr>
                </pic:pic>
              </a:graphicData>
            </a:graphic>
          </wp:anchor>
        </w:drawing>
      </w:r>
      <w:r w:rsidR="00A9710C">
        <w:rPr>
          <w:rFonts w:ascii="Arial"/>
          <w:color w:val="BF5A14"/>
        </w:rPr>
        <w:t>Biography</w:t>
      </w:r>
    </w:p>
    <w:p w:rsidR="005E343F" w:rsidRDefault="005E343F" w:rsidP="003B6CA6">
      <w:pPr>
        <w:pStyle w:val="Corpsdetexte"/>
        <w:numPr>
          <w:ilvl w:val="0"/>
          <w:numId w:val="5"/>
        </w:numPr>
        <w:spacing w:before="73" w:line="198" w:lineRule="exact"/>
        <w:ind w:right="5987"/>
        <w:rPr>
          <w:rFonts w:ascii="Arial"/>
          <w:sz w:val="14"/>
        </w:rPr>
      </w:pPr>
      <w:r>
        <w:rPr>
          <w:rFonts w:ascii="Arial"/>
          <w:sz w:val="14"/>
        </w:rPr>
        <w:t>Former Intern at</w:t>
      </w:r>
      <w:r w:rsidRPr="005E343F">
        <w:rPr>
          <w:rFonts w:ascii="Arial"/>
          <w:sz w:val="14"/>
        </w:rPr>
        <w:t xml:space="preserve"> Ibn sina University Medical Center, </w:t>
      </w:r>
      <w:r w:rsidRPr="005722A2">
        <w:rPr>
          <w:rFonts w:ascii="Arial"/>
          <w:sz w:val="14"/>
        </w:rPr>
        <w:t xml:space="preserve"> </w:t>
      </w:r>
    </w:p>
    <w:p w:rsidR="005E343F" w:rsidRPr="005E343F" w:rsidRDefault="005E343F" w:rsidP="003B6CA6">
      <w:pPr>
        <w:pStyle w:val="Corpsdetexte"/>
        <w:numPr>
          <w:ilvl w:val="0"/>
          <w:numId w:val="5"/>
        </w:numPr>
        <w:spacing w:before="73" w:line="198" w:lineRule="exact"/>
        <w:ind w:right="5987"/>
        <w:rPr>
          <w:rFonts w:ascii="Arial"/>
          <w:sz w:val="14"/>
        </w:rPr>
      </w:pPr>
      <w:r w:rsidRPr="0074609C">
        <w:rPr>
          <w:rFonts w:ascii="Arial"/>
          <w:sz w:val="14"/>
        </w:rPr>
        <w:t>Resident in pediatric dentistry</w:t>
      </w:r>
      <w:r w:rsidRPr="005E343F">
        <w:rPr>
          <w:rFonts w:ascii="Arial"/>
          <w:sz w:val="14"/>
        </w:rPr>
        <w:t xml:space="preserve">, </w:t>
      </w:r>
      <w:r w:rsidRPr="0074609C">
        <w:rPr>
          <w:rFonts w:ascii="Arial"/>
          <w:sz w:val="14"/>
        </w:rPr>
        <w:t xml:space="preserve">Faculty of dental </w:t>
      </w:r>
      <w:r w:rsidRPr="005E343F">
        <w:rPr>
          <w:rFonts w:ascii="Arial"/>
          <w:sz w:val="14"/>
        </w:rPr>
        <w:t xml:space="preserve">medicine, </w:t>
      </w:r>
      <w:r>
        <w:rPr>
          <w:rFonts w:ascii="Arial"/>
          <w:sz w:val="14"/>
        </w:rPr>
        <w:t xml:space="preserve">mohammed V </w:t>
      </w:r>
      <w:r w:rsidRPr="0074609C">
        <w:rPr>
          <w:rFonts w:ascii="Arial"/>
          <w:sz w:val="14"/>
        </w:rPr>
        <w:t>University of Rabat</w:t>
      </w:r>
      <w:r>
        <w:rPr>
          <w:rFonts w:ascii="Arial"/>
          <w:sz w:val="14"/>
        </w:rPr>
        <w:t xml:space="preserve"> </w:t>
      </w:r>
      <w:r w:rsidRPr="0074609C">
        <w:rPr>
          <w:rFonts w:ascii="Arial"/>
          <w:sz w:val="14"/>
        </w:rPr>
        <w:t>Morocco</w:t>
      </w:r>
    </w:p>
    <w:p w:rsidR="005E343F" w:rsidRDefault="005E343F" w:rsidP="005E343F">
      <w:pPr>
        <w:pStyle w:val="PrformatHTML"/>
        <w:rPr>
          <w:rFonts w:ascii="Arial" w:eastAsia="Tw Cen MT" w:hAnsi="Tw Cen MT" w:cs="Tw Cen MT"/>
          <w:sz w:val="14"/>
          <w:szCs w:val="18"/>
          <w:lang w:val="en-US" w:eastAsia="en-US"/>
        </w:rPr>
      </w:pPr>
    </w:p>
    <w:p w:rsidR="005E343F" w:rsidRPr="005E343F" w:rsidRDefault="003B6CA6" w:rsidP="005E343F">
      <w:pPr>
        <w:pStyle w:val="PrformatHTML"/>
        <w:rPr>
          <w:rFonts w:ascii="Arial" w:eastAsia="Tw Cen MT" w:hAnsi="Tw Cen MT" w:cs="Tw Cen MT"/>
          <w:sz w:val="14"/>
          <w:szCs w:val="18"/>
          <w:lang w:val="en-US" w:eastAsia="en-US"/>
        </w:rPr>
      </w:pPr>
      <w:r>
        <w:rPr>
          <w:rFonts w:ascii="Arial" w:eastAsia="Tw Cen MT" w:hAnsi="Tw Cen MT" w:cs="Tw Cen MT"/>
          <w:sz w:val="14"/>
          <w:szCs w:val="18"/>
          <w:lang w:val="en-US" w:eastAsia="en-US"/>
        </w:rPr>
        <w:t xml:space="preserve">- </w:t>
      </w:r>
      <w:r w:rsidR="005E343F">
        <w:rPr>
          <w:rFonts w:ascii="Arial" w:eastAsia="Tw Cen MT" w:hAnsi="Tw Cen MT" w:cs="Tw Cen MT"/>
          <w:sz w:val="14"/>
          <w:szCs w:val="18"/>
          <w:lang w:val="en-US" w:eastAsia="en-US"/>
        </w:rPr>
        <w:t>M</w:t>
      </w:r>
      <w:r w:rsidR="005E343F" w:rsidRPr="005E343F">
        <w:rPr>
          <w:rFonts w:ascii="Arial" w:eastAsia="Tw Cen MT" w:hAnsi="Tw Cen MT" w:cs="Tw Cen MT"/>
          <w:sz w:val="14"/>
          <w:szCs w:val="18"/>
          <w:lang w:val="en-US" w:eastAsia="en-US"/>
        </w:rPr>
        <w:t>ember of the Committee Bureau (Communication manager)  of the association of internal and residents dentists of rabat</w:t>
      </w:r>
    </w:p>
    <w:p w:rsidR="0074609C" w:rsidRDefault="0074609C" w:rsidP="005E343F">
      <w:pPr>
        <w:spacing w:before="41" w:line="154" w:lineRule="exact"/>
        <w:ind w:right="231"/>
        <w:jc w:val="both"/>
        <w:rPr>
          <w:rFonts w:ascii="Arial"/>
          <w:sz w:val="14"/>
        </w:rPr>
      </w:pPr>
    </w:p>
    <w:p w:rsidR="00AE3E37" w:rsidRDefault="00A9710C">
      <w:pPr>
        <w:spacing w:before="62"/>
        <w:ind w:left="4217" w:right="4235"/>
        <w:jc w:val="center"/>
        <w:rPr>
          <w:rFonts w:ascii="Arial"/>
          <w:sz w:val="14"/>
        </w:rPr>
      </w:pPr>
      <w:r>
        <w:rPr>
          <w:rFonts w:ascii="Arial"/>
          <w:sz w:val="14"/>
        </w:rPr>
        <w:t xml:space="preserve">Email: </w:t>
      </w:r>
      <w:r w:rsidR="00FD7DFB">
        <w:rPr>
          <w:rFonts w:ascii="Arial"/>
          <w:sz w:val="14"/>
        </w:rPr>
        <w:t>Merieme.Lferde@gmail.com</w:t>
      </w:r>
    </w:p>
    <w:p w:rsidR="00AE3E37" w:rsidRDefault="00F456FD">
      <w:pPr>
        <w:pStyle w:val="Corpsdetexte"/>
        <w:spacing w:before="2"/>
        <w:rPr>
          <w:rFonts w:ascii="Arial"/>
          <w:sz w:val="19"/>
        </w:rPr>
      </w:pPr>
      <w:r w:rsidRPr="00F456FD">
        <w:rPr>
          <w:noProof/>
          <w:lang w:val="en-IN" w:eastAsia="en-IN"/>
        </w:rPr>
        <w:pict>
          <v:line id="Line 3" o:spid="_x0000_s1028" style="position:absolute;z-index:1072;visibility:visible;mso-wrap-distance-left:0;mso-wrap-distance-right:0;mso-position-horizontal-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p>
    <w:p w:rsidR="00AE3E37" w:rsidRDefault="00AE3E37">
      <w:pPr>
        <w:pStyle w:val="Corpsdetexte"/>
        <w:rPr>
          <w:rFonts w:ascii="Arial"/>
          <w:sz w:val="20"/>
        </w:rPr>
      </w:pPr>
    </w:p>
    <w:p w:rsidR="00AE3E37" w:rsidRDefault="00AE3E37">
      <w:pPr>
        <w:pStyle w:val="Corpsdetexte"/>
        <w:rPr>
          <w:rFonts w:ascii="Arial"/>
          <w:sz w:val="20"/>
        </w:rPr>
      </w:pPr>
    </w:p>
    <w:p w:rsidR="00AE3E37" w:rsidRDefault="00AE3E37">
      <w:pPr>
        <w:pStyle w:val="Corpsdetexte"/>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pPr>
    </w:p>
    <w:p w:rsidR="00F17FE7" w:rsidRDefault="00F17FE7">
      <w:pPr>
        <w:rPr>
          <w:rFonts w:ascii="Minion Pro"/>
          <w:sz w:val="24"/>
        </w:rPr>
        <w:sectPr w:rsidR="00F17FE7">
          <w:type w:val="continuous"/>
          <w:pgSz w:w="11910" w:h="16840"/>
          <w:pgMar w:top="1740" w:right="600" w:bottom="840" w:left="620" w:header="720" w:footer="720" w:gutter="0"/>
          <w:cols w:space="720"/>
        </w:sectPr>
      </w:pPr>
    </w:p>
    <w:p w:rsidR="00AE3E37" w:rsidRDefault="00D07070">
      <w:pPr>
        <w:pStyle w:val="Corpsdetexte"/>
        <w:spacing w:before="3"/>
        <w:rPr>
          <w:rFonts w:ascii="Minion Pro"/>
          <w:noProof/>
          <w:sz w:val="26"/>
          <w:lang w:eastAsia="fr-FR"/>
        </w:rPr>
      </w:pPr>
      <w:r>
        <w:rPr>
          <w:rFonts w:ascii="Minion Pro"/>
          <w:sz w:val="26"/>
        </w:rPr>
        <w:lastRenderedPageBreak/>
        <w:t xml:space="preserve"> </w:t>
      </w: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6366D9" w:rsidRDefault="006366D9">
      <w:r>
        <w:separator/>
      </w:r>
    </w:p>
  </w:endnote>
  <w:endnote w:type="continuationSeparator" w:id="1">
    <w:p w:rsidR="006366D9" w:rsidRDefault="006366D9">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Tw Cen MT">
    <w:panose1 w:val="020B0602020104020603"/>
    <w:charset w:val="00"/>
    <w:family w:val="swiss"/>
    <w:pitch w:val="variable"/>
    <w:sig w:usb0="00000007" w:usb1="00000000" w:usb2="00000000" w:usb3="00000000" w:csb0="00000003"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456FD">
    <w:pPr>
      <w:pStyle w:val="Corpsdetexte"/>
      <w:spacing w:line="14" w:lineRule="auto"/>
      <w:rPr>
        <w:sz w:val="20"/>
      </w:rPr>
    </w:pPr>
    <w:r w:rsidRPr="00F456FD">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w:r>
    <w:r w:rsidRPr="00F456FD">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F456FD">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6366D9" w:rsidRDefault="006366D9">
      <w:r>
        <w:separator/>
      </w:r>
    </w:p>
  </w:footnote>
  <w:footnote w:type="continuationSeparator" w:id="1">
    <w:p w:rsidR="006366D9" w:rsidRDefault="006366D9">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F456FD">
    <w:pPr>
      <w:pStyle w:val="Corpsdetexte"/>
      <w:spacing w:line="14" w:lineRule="auto"/>
      <w:rPr>
        <w:sz w:val="20"/>
      </w:rPr>
    </w:pPr>
    <w:r w:rsidRPr="00F456FD">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FD7DFB" w:rsidRDefault="00A9710C">
                <w:pPr>
                  <w:spacing w:before="2" w:line="249" w:lineRule="auto"/>
                  <w:ind w:left="156" w:right="18" w:hanging="137"/>
                  <w:rPr>
                    <w:rFonts w:ascii="Arial"/>
                    <w:color w:val="FFFFFF" w:themeColor="background1"/>
                    <w:sz w:val="14"/>
                    <w:lang w:val="fr-FR"/>
                  </w:rPr>
                </w:pPr>
                <w:r w:rsidRPr="00FD7DFB">
                  <w:rPr>
                    <w:rFonts w:ascii="Arial"/>
                    <w:color w:val="FFFFFF" w:themeColor="background1"/>
                    <w:sz w:val="14"/>
                    <w:lang w:val="fr-FR"/>
                  </w:rPr>
                  <w:t xml:space="preserve">T Furuta et al., J Pai n Relief 2016, 5:3(Suppl) </w:t>
                </w:r>
                <w:hyperlink r:id="rId1">
                  <w:r w:rsidRPr="00FD7DFB">
                    <w:rPr>
                      <w:rFonts w:ascii="Arial"/>
                      <w:color w:val="FFFFFF" w:themeColor="background1"/>
                      <w:sz w:val="14"/>
                      <w:lang w:val="fr-FR"/>
                    </w:rPr>
                    <w:t>http://dx.doi.org/10.4172/2167-0846.C1.006</w:t>
                  </w:r>
                </w:hyperlink>
              </w:p>
            </w:txbxContent>
          </v:textbox>
          <w10:wrap anchorx="page" anchory="page"/>
        </v:shape>
      </w:pict>
    </w:r>
    <w:r w:rsidRPr="00F456FD">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Corpsdetexte"/>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2FD7B7B"/>
    <w:multiLevelType w:val="hybridMultilevel"/>
    <w:tmpl w:val="D30854FC"/>
    <w:lvl w:ilvl="0" w:tplc="E222E196">
      <w:start w:val="13"/>
      <w:numFmt w:val="bullet"/>
      <w:lvlText w:val=""/>
      <w:lvlJc w:val="left"/>
      <w:pPr>
        <w:ind w:left="720" w:hanging="360"/>
      </w:pPr>
      <w:rPr>
        <w:rFonts w:ascii="Symbol" w:eastAsia="Tw Cen MT" w:hAnsi="Symbol" w:cs="Tw Cen MT"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613D3AA8"/>
    <w:multiLevelType w:val="hybridMultilevel"/>
    <w:tmpl w:val="BEF8C52C"/>
    <w:lvl w:ilvl="0" w:tplc="4B042E04">
      <w:start w:val="13"/>
      <w:numFmt w:val="bullet"/>
      <w:lvlText w:val="-"/>
      <w:lvlJc w:val="left"/>
      <w:pPr>
        <w:ind w:left="460" w:hanging="360"/>
      </w:pPr>
      <w:rPr>
        <w:rFonts w:ascii="Arial" w:eastAsia="Tw Cen MT" w:hAnsi="Arial" w:cs="Arial" w:hint="default"/>
      </w:rPr>
    </w:lvl>
    <w:lvl w:ilvl="1" w:tplc="040C0003" w:tentative="1">
      <w:start w:val="1"/>
      <w:numFmt w:val="bullet"/>
      <w:lvlText w:val="o"/>
      <w:lvlJc w:val="left"/>
      <w:pPr>
        <w:ind w:left="1180" w:hanging="360"/>
      </w:pPr>
      <w:rPr>
        <w:rFonts w:ascii="Courier New" w:hAnsi="Courier New" w:cs="Courier New" w:hint="default"/>
      </w:rPr>
    </w:lvl>
    <w:lvl w:ilvl="2" w:tplc="040C0005" w:tentative="1">
      <w:start w:val="1"/>
      <w:numFmt w:val="bullet"/>
      <w:lvlText w:val=""/>
      <w:lvlJc w:val="left"/>
      <w:pPr>
        <w:ind w:left="1900" w:hanging="360"/>
      </w:pPr>
      <w:rPr>
        <w:rFonts w:ascii="Wingdings" w:hAnsi="Wingdings" w:hint="default"/>
      </w:rPr>
    </w:lvl>
    <w:lvl w:ilvl="3" w:tplc="040C0001" w:tentative="1">
      <w:start w:val="1"/>
      <w:numFmt w:val="bullet"/>
      <w:lvlText w:val=""/>
      <w:lvlJc w:val="left"/>
      <w:pPr>
        <w:ind w:left="2620" w:hanging="360"/>
      </w:pPr>
      <w:rPr>
        <w:rFonts w:ascii="Symbol" w:hAnsi="Symbol" w:hint="default"/>
      </w:rPr>
    </w:lvl>
    <w:lvl w:ilvl="4" w:tplc="040C0003" w:tentative="1">
      <w:start w:val="1"/>
      <w:numFmt w:val="bullet"/>
      <w:lvlText w:val="o"/>
      <w:lvlJc w:val="left"/>
      <w:pPr>
        <w:ind w:left="3340" w:hanging="360"/>
      </w:pPr>
      <w:rPr>
        <w:rFonts w:ascii="Courier New" w:hAnsi="Courier New" w:cs="Courier New" w:hint="default"/>
      </w:rPr>
    </w:lvl>
    <w:lvl w:ilvl="5" w:tplc="040C0005" w:tentative="1">
      <w:start w:val="1"/>
      <w:numFmt w:val="bullet"/>
      <w:lvlText w:val=""/>
      <w:lvlJc w:val="left"/>
      <w:pPr>
        <w:ind w:left="4060" w:hanging="360"/>
      </w:pPr>
      <w:rPr>
        <w:rFonts w:ascii="Wingdings" w:hAnsi="Wingdings" w:hint="default"/>
      </w:rPr>
    </w:lvl>
    <w:lvl w:ilvl="6" w:tplc="040C0001" w:tentative="1">
      <w:start w:val="1"/>
      <w:numFmt w:val="bullet"/>
      <w:lvlText w:val=""/>
      <w:lvlJc w:val="left"/>
      <w:pPr>
        <w:ind w:left="4780" w:hanging="360"/>
      </w:pPr>
      <w:rPr>
        <w:rFonts w:ascii="Symbol" w:hAnsi="Symbol" w:hint="default"/>
      </w:rPr>
    </w:lvl>
    <w:lvl w:ilvl="7" w:tplc="040C0003" w:tentative="1">
      <w:start w:val="1"/>
      <w:numFmt w:val="bullet"/>
      <w:lvlText w:val="o"/>
      <w:lvlJc w:val="left"/>
      <w:pPr>
        <w:ind w:left="5500" w:hanging="360"/>
      </w:pPr>
      <w:rPr>
        <w:rFonts w:ascii="Courier New" w:hAnsi="Courier New" w:cs="Courier New" w:hint="default"/>
      </w:rPr>
    </w:lvl>
    <w:lvl w:ilvl="8" w:tplc="040C0005" w:tentative="1">
      <w:start w:val="1"/>
      <w:numFmt w:val="bullet"/>
      <w:lvlText w:val=""/>
      <w:lvlJc w:val="left"/>
      <w:pPr>
        <w:ind w:left="6220" w:hanging="360"/>
      </w:pPr>
      <w:rPr>
        <w:rFonts w:ascii="Wingdings" w:hAnsi="Wingdings" w:hint="default"/>
      </w:r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1"/>
  </w:num>
  <w:num w:numId="5">
    <w:abstractNumId w:val="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50"/>
  <w:defaultTabStop w:val="720"/>
  <w:hyphenationZone w:val="425"/>
  <w:drawingGridHorizontalSpacing w:val="110"/>
  <w:displayHorizontalDrawingGridEvery w:val="2"/>
  <w:characterSpacingControl w:val="doNotCompress"/>
  <w:hdrShapeDefaults>
    <o:shapedefaults v:ext="edit" spidmax="7170"/>
    <o:shapelayout v:ext="edit">
      <o:idmap v:ext="edit" data="4"/>
    </o:shapelayout>
  </w:hdrShapeDefaults>
  <w:footnotePr>
    <w:footnote w:id="0"/>
    <w:footnote w:id="1"/>
  </w:footnotePr>
  <w:endnotePr>
    <w:endnote w:id="0"/>
    <w:endnote w:id="1"/>
  </w:endnotePr>
  <w:compat>
    <w:ulTrailSpace/>
  </w:compat>
  <w:rsids>
    <w:rsidRoot w:val="00AE3E37"/>
    <w:rsid w:val="0000314B"/>
    <w:rsid w:val="000E2911"/>
    <w:rsid w:val="001263DF"/>
    <w:rsid w:val="001A3B27"/>
    <w:rsid w:val="002455EC"/>
    <w:rsid w:val="00292ED9"/>
    <w:rsid w:val="003B6CA6"/>
    <w:rsid w:val="00404E5B"/>
    <w:rsid w:val="00414F7B"/>
    <w:rsid w:val="004355DC"/>
    <w:rsid w:val="004749B4"/>
    <w:rsid w:val="00494130"/>
    <w:rsid w:val="004F3523"/>
    <w:rsid w:val="005608C0"/>
    <w:rsid w:val="005722A2"/>
    <w:rsid w:val="005973B9"/>
    <w:rsid w:val="005B3A56"/>
    <w:rsid w:val="005E343F"/>
    <w:rsid w:val="006060CE"/>
    <w:rsid w:val="0063497F"/>
    <w:rsid w:val="006366D9"/>
    <w:rsid w:val="0074609C"/>
    <w:rsid w:val="008546FA"/>
    <w:rsid w:val="00873DF0"/>
    <w:rsid w:val="008756E6"/>
    <w:rsid w:val="008A08B6"/>
    <w:rsid w:val="00924C7F"/>
    <w:rsid w:val="009B2D44"/>
    <w:rsid w:val="00A07E82"/>
    <w:rsid w:val="00A9710C"/>
    <w:rsid w:val="00AE3E37"/>
    <w:rsid w:val="00B21A57"/>
    <w:rsid w:val="00C33602"/>
    <w:rsid w:val="00CD6F55"/>
    <w:rsid w:val="00D07070"/>
    <w:rsid w:val="00DB10D0"/>
    <w:rsid w:val="00DE3104"/>
    <w:rsid w:val="00E26B10"/>
    <w:rsid w:val="00F17FE7"/>
    <w:rsid w:val="00F456FD"/>
    <w:rsid w:val="00F72EEA"/>
    <w:rsid w:val="00F84CAE"/>
    <w:rsid w:val="00FC55FC"/>
    <w:rsid w:val="00FD7DFB"/>
  </w:rsids>
  <m:mathPr>
    <m:mathFont m:val="Cambria Math"/>
    <m:brkBin m:val="before"/>
    <m:brkBinSub m:val="--"/>
    <m:smallFrac/>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717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Titre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itre2">
    <w:name w:val="heading 2"/>
    <w:basedOn w:val="Normal"/>
    <w:uiPriority w:val="1"/>
    <w:qFormat/>
    <w:rsid w:val="00CD6F55"/>
    <w:pPr>
      <w:ind w:left="100"/>
      <w:outlineLvl w:val="1"/>
    </w:pPr>
    <w:rPr>
      <w:rFonts w:ascii="Minion Pro" w:eastAsia="Minion Pro" w:hAnsi="Minion Pro" w:cs="Minion Pro"/>
      <w:sz w:val="24"/>
      <w:szCs w:val="24"/>
    </w:rPr>
  </w:style>
  <w:style w:type="paragraph" w:styleId="Titre3">
    <w:name w:val="heading 3"/>
    <w:basedOn w:val="Normal"/>
    <w:uiPriority w:val="1"/>
    <w:qFormat/>
    <w:rsid w:val="00CD6F55"/>
    <w:pPr>
      <w:ind w:left="100"/>
      <w:outlineLvl w:val="2"/>
    </w:pPr>
    <w:rPr>
      <w:rFonts w:ascii="Arial" w:eastAsia="Arial" w:hAnsi="Arial" w:cs="Arial"/>
      <w:b/>
      <w:bCs/>
      <w:sz w:val="20"/>
      <w:szCs w:val="20"/>
    </w:rPr>
  </w:style>
  <w:style w:type="character" w:default="1" w:styleId="Policepardfaut">
    <w:name w:val="Default Paragraph Font"/>
    <w:uiPriority w:val="1"/>
    <w:unhideWhenUsed/>
  </w:style>
  <w:style w:type="table" w:default="1" w:styleId="TableauNormal">
    <w:name w:val="Normal Table"/>
    <w:uiPriority w:val="99"/>
    <w:semiHidden/>
    <w:unhideWhenUsed/>
    <w:qFormat/>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iPriority w:val="1"/>
    <w:qFormat/>
    <w:rsid w:val="00CD6F55"/>
    <w:rPr>
      <w:sz w:val="18"/>
      <w:szCs w:val="18"/>
    </w:rPr>
  </w:style>
  <w:style w:type="paragraph" w:styleId="Paragraphedeliste">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tte">
    <w:name w:val="header"/>
    <w:basedOn w:val="Normal"/>
    <w:link w:val="En-tteCar"/>
    <w:uiPriority w:val="99"/>
    <w:unhideWhenUsed/>
    <w:rsid w:val="005B3A56"/>
    <w:pPr>
      <w:tabs>
        <w:tab w:val="center" w:pos="4513"/>
        <w:tab w:val="right" w:pos="9026"/>
      </w:tabs>
    </w:pPr>
  </w:style>
  <w:style w:type="character" w:customStyle="1" w:styleId="En-tteCar">
    <w:name w:val="En-tête Car"/>
    <w:basedOn w:val="Policepardfaut"/>
    <w:link w:val="En-tte"/>
    <w:uiPriority w:val="99"/>
    <w:rsid w:val="005B3A56"/>
    <w:rPr>
      <w:rFonts w:ascii="Tw Cen MT" w:eastAsia="Tw Cen MT" w:hAnsi="Tw Cen MT" w:cs="Tw Cen MT"/>
    </w:rPr>
  </w:style>
  <w:style w:type="paragraph" w:styleId="Pieddepage">
    <w:name w:val="footer"/>
    <w:basedOn w:val="Normal"/>
    <w:link w:val="PieddepageCar"/>
    <w:uiPriority w:val="99"/>
    <w:unhideWhenUsed/>
    <w:rsid w:val="005B3A56"/>
    <w:pPr>
      <w:tabs>
        <w:tab w:val="center" w:pos="4513"/>
        <w:tab w:val="right" w:pos="9026"/>
      </w:tabs>
    </w:pPr>
  </w:style>
  <w:style w:type="character" w:customStyle="1" w:styleId="PieddepageCar">
    <w:name w:val="Pied de page Car"/>
    <w:basedOn w:val="Policepardfaut"/>
    <w:link w:val="Pieddepage"/>
    <w:uiPriority w:val="99"/>
    <w:rsid w:val="005B3A56"/>
    <w:rPr>
      <w:rFonts w:ascii="Tw Cen MT" w:eastAsia="Tw Cen MT" w:hAnsi="Tw Cen MT" w:cs="Tw Cen MT"/>
    </w:rPr>
  </w:style>
  <w:style w:type="paragraph" w:styleId="Textedebulles">
    <w:name w:val="Balloon Text"/>
    <w:basedOn w:val="Normal"/>
    <w:link w:val="TextedebullesCar"/>
    <w:uiPriority w:val="99"/>
    <w:semiHidden/>
    <w:unhideWhenUsed/>
    <w:rsid w:val="004F3523"/>
    <w:rPr>
      <w:rFonts w:ascii="Tahoma" w:hAnsi="Tahoma" w:cs="Tahoma"/>
      <w:sz w:val="16"/>
      <w:szCs w:val="16"/>
    </w:rPr>
  </w:style>
  <w:style w:type="character" w:customStyle="1" w:styleId="TextedebullesCar">
    <w:name w:val="Texte de bulles Car"/>
    <w:basedOn w:val="Policepardfaut"/>
    <w:link w:val="Textedebulles"/>
    <w:uiPriority w:val="99"/>
    <w:semiHidden/>
    <w:rsid w:val="004F3523"/>
    <w:rPr>
      <w:rFonts w:ascii="Tahoma" w:eastAsia="Tw Cen MT" w:hAnsi="Tahoma" w:cs="Tahoma"/>
      <w:sz w:val="16"/>
      <w:szCs w:val="16"/>
    </w:rPr>
  </w:style>
  <w:style w:type="character" w:styleId="Lienhypertexte">
    <w:name w:val="Hyperlink"/>
    <w:basedOn w:val="Policepardfaut"/>
    <w:uiPriority w:val="99"/>
    <w:unhideWhenUsed/>
    <w:rsid w:val="008756E6"/>
    <w:rPr>
      <w:color w:val="0000FF" w:themeColor="hyperlink"/>
      <w:u w:val="single"/>
    </w:rPr>
  </w:style>
  <w:style w:type="character" w:customStyle="1" w:styleId="CorpsdetexteCar">
    <w:name w:val="Corps de texte Car"/>
    <w:basedOn w:val="Policepardfaut"/>
    <w:link w:val="Corpsdetexte"/>
    <w:uiPriority w:val="1"/>
    <w:rsid w:val="005973B9"/>
    <w:rPr>
      <w:rFonts w:ascii="Tw Cen MT" w:eastAsia="Tw Cen MT" w:hAnsi="Tw Cen MT" w:cs="Tw Cen MT"/>
      <w:sz w:val="18"/>
      <w:szCs w:val="18"/>
    </w:rPr>
  </w:style>
  <w:style w:type="paragraph" w:customStyle="1" w:styleId="title">
    <w:name w:val="title"/>
    <w:basedOn w:val="Normal"/>
    <w:rsid w:val="001A3B27"/>
    <w:pPr>
      <w:widowControl/>
      <w:spacing w:before="100" w:beforeAutospacing="1" w:after="100" w:afterAutospacing="1"/>
    </w:pPr>
    <w:rPr>
      <w:rFonts w:ascii="Times New Roman" w:eastAsia="Times New Roman" w:hAnsi="Times New Roman" w:cs="Times New Roman"/>
      <w:sz w:val="24"/>
      <w:szCs w:val="24"/>
      <w:lang w:val="fr-FR" w:eastAsia="fr-FR"/>
    </w:rPr>
  </w:style>
  <w:style w:type="paragraph" w:customStyle="1" w:styleId="desc">
    <w:name w:val="desc"/>
    <w:basedOn w:val="Normal"/>
    <w:rsid w:val="001A3B27"/>
    <w:pPr>
      <w:widowControl/>
      <w:spacing w:before="100" w:beforeAutospacing="1" w:after="100" w:afterAutospacing="1"/>
    </w:pPr>
    <w:rPr>
      <w:rFonts w:ascii="Times New Roman" w:eastAsia="Times New Roman" w:hAnsi="Times New Roman" w:cs="Times New Roman"/>
      <w:sz w:val="24"/>
      <w:szCs w:val="24"/>
      <w:lang w:val="fr-FR" w:eastAsia="fr-FR"/>
    </w:rPr>
  </w:style>
  <w:style w:type="paragraph" w:customStyle="1" w:styleId="details">
    <w:name w:val="details"/>
    <w:basedOn w:val="Normal"/>
    <w:rsid w:val="001A3B27"/>
    <w:pPr>
      <w:widowControl/>
      <w:spacing w:before="100" w:beforeAutospacing="1" w:after="100" w:afterAutospacing="1"/>
    </w:pPr>
    <w:rPr>
      <w:rFonts w:ascii="Times New Roman" w:eastAsia="Times New Roman" w:hAnsi="Times New Roman" w:cs="Times New Roman"/>
      <w:sz w:val="24"/>
      <w:szCs w:val="24"/>
      <w:lang w:val="fr-FR" w:eastAsia="fr-FR"/>
    </w:rPr>
  </w:style>
  <w:style w:type="character" w:customStyle="1" w:styleId="jrnl">
    <w:name w:val="jrnl"/>
    <w:basedOn w:val="Policepardfaut"/>
    <w:rsid w:val="001A3B27"/>
  </w:style>
  <w:style w:type="character" w:customStyle="1" w:styleId="highlight">
    <w:name w:val="highlight"/>
    <w:basedOn w:val="Policepardfaut"/>
    <w:rsid w:val="001A3B27"/>
  </w:style>
  <w:style w:type="character" w:styleId="lev">
    <w:name w:val="Strong"/>
    <w:basedOn w:val="Policepardfaut"/>
    <w:uiPriority w:val="22"/>
    <w:qFormat/>
    <w:rsid w:val="008546FA"/>
    <w:rPr>
      <w:b/>
      <w:bCs/>
    </w:rPr>
  </w:style>
  <w:style w:type="paragraph" w:styleId="PrformatHTML">
    <w:name w:val="HTML Preformatted"/>
    <w:basedOn w:val="Normal"/>
    <w:link w:val="PrformatHTMLCar"/>
    <w:uiPriority w:val="99"/>
    <w:semiHidden/>
    <w:unhideWhenUsed/>
    <w:rsid w:val="005E343F"/>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imes New Roman" w:hAnsi="Courier New" w:cs="Courier New"/>
      <w:sz w:val="20"/>
      <w:szCs w:val="20"/>
      <w:lang w:val="fr-FR" w:eastAsia="fr-FR"/>
    </w:rPr>
  </w:style>
  <w:style w:type="character" w:customStyle="1" w:styleId="PrformatHTMLCar">
    <w:name w:val="Préformaté HTML Car"/>
    <w:basedOn w:val="Policepardfaut"/>
    <w:link w:val="PrformatHTML"/>
    <w:uiPriority w:val="99"/>
    <w:semiHidden/>
    <w:rsid w:val="005E343F"/>
    <w:rPr>
      <w:rFonts w:ascii="Courier New" w:eastAsia="Times New Roman" w:hAnsi="Courier New" w:cs="Courier New"/>
      <w:sz w:val="20"/>
      <w:szCs w:val="20"/>
      <w:lang w:val="fr-FR" w:eastAsia="fr-FR"/>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62989330">
      <w:bodyDiv w:val="1"/>
      <w:marLeft w:val="0"/>
      <w:marRight w:val="0"/>
      <w:marTop w:val="0"/>
      <w:marBottom w:val="0"/>
      <w:divBdr>
        <w:top w:val="none" w:sz="0" w:space="0" w:color="auto"/>
        <w:left w:val="none" w:sz="0" w:space="0" w:color="auto"/>
        <w:bottom w:val="none" w:sz="0" w:space="0" w:color="auto"/>
        <w:right w:val="none" w:sz="0" w:space="0" w:color="auto"/>
      </w:divBdr>
      <w:divsChild>
        <w:div w:id="1973168436">
          <w:marLeft w:val="0"/>
          <w:marRight w:val="0"/>
          <w:marTop w:val="0"/>
          <w:marBottom w:val="0"/>
          <w:divBdr>
            <w:top w:val="none" w:sz="0" w:space="0" w:color="auto"/>
            <w:left w:val="none" w:sz="0" w:space="0" w:color="auto"/>
            <w:bottom w:val="none" w:sz="0" w:space="0" w:color="auto"/>
            <w:right w:val="none" w:sz="0" w:space="0" w:color="auto"/>
          </w:divBdr>
        </w:div>
        <w:div w:id="1044132616">
          <w:marLeft w:val="0"/>
          <w:marRight w:val="0"/>
          <w:marTop w:val="0"/>
          <w:marBottom w:val="0"/>
          <w:divBdr>
            <w:top w:val="none" w:sz="0" w:space="0" w:color="auto"/>
            <w:left w:val="none" w:sz="0" w:space="0" w:color="auto"/>
            <w:bottom w:val="none" w:sz="0" w:space="0" w:color="auto"/>
            <w:right w:val="none" w:sz="0" w:space="0" w:color="auto"/>
          </w:divBdr>
        </w:div>
        <w:div w:id="1500928778">
          <w:marLeft w:val="0"/>
          <w:marRight w:val="0"/>
          <w:marTop w:val="0"/>
          <w:marBottom w:val="0"/>
          <w:divBdr>
            <w:top w:val="none" w:sz="0" w:space="0" w:color="auto"/>
            <w:left w:val="none" w:sz="0" w:space="0" w:color="auto"/>
            <w:bottom w:val="none" w:sz="0" w:space="0" w:color="auto"/>
            <w:right w:val="none" w:sz="0" w:space="0" w:color="auto"/>
          </w:divBdr>
        </w:div>
        <w:div w:id="915096044">
          <w:marLeft w:val="0"/>
          <w:marRight w:val="0"/>
          <w:marTop w:val="0"/>
          <w:marBottom w:val="0"/>
          <w:divBdr>
            <w:top w:val="none" w:sz="0" w:space="0" w:color="auto"/>
            <w:left w:val="none" w:sz="0" w:space="0" w:color="auto"/>
            <w:bottom w:val="none" w:sz="0" w:space="0" w:color="auto"/>
            <w:right w:val="none" w:sz="0" w:space="0" w:color="auto"/>
          </w:divBdr>
        </w:div>
      </w:divsChild>
    </w:div>
    <w:div w:id="84499840">
      <w:bodyDiv w:val="1"/>
      <w:marLeft w:val="0"/>
      <w:marRight w:val="0"/>
      <w:marTop w:val="0"/>
      <w:marBottom w:val="0"/>
      <w:divBdr>
        <w:top w:val="none" w:sz="0" w:space="0" w:color="auto"/>
        <w:left w:val="none" w:sz="0" w:space="0" w:color="auto"/>
        <w:bottom w:val="none" w:sz="0" w:space="0" w:color="auto"/>
        <w:right w:val="none" w:sz="0" w:space="0" w:color="auto"/>
      </w:divBdr>
      <w:divsChild>
        <w:div w:id="96874923">
          <w:marLeft w:val="0"/>
          <w:marRight w:val="0"/>
          <w:marTop w:val="0"/>
          <w:marBottom w:val="0"/>
          <w:divBdr>
            <w:top w:val="none" w:sz="0" w:space="0" w:color="auto"/>
            <w:left w:val="none" w:sz="0" w:space="0" w:color="auto"/>
            <w:bottom w:val="none" w:sz="0" w:space="0" w:color="auto"/>
            <w:right w:val="none" w:sz="0" w:space="0" w:color="auto"/>
          </w:divBdr>
        </w:div>
        <w:div w:id="4983555">
          <w:marLeft w:val="0"/>
          <w:marRight w:val="0"/>
          <w:marTop w:val="0"/>
          <w:marBottom w:val="0"/>
          <w:divBdr>
            <w:top w:val="none" w:sz="0" w:space="0" w:color="auto"/>
            <w:left w:val="none" w:sz="0" w:space="0" w:color="auto"/>
            <w:bottom w:val="none" w:sz="0" w:space="0" w:color="auto"/>
            <w:right w:val="none" w:sz="0" w:space="0" w:color="auto"/>
          </w:divBdr>
        </w:div>
      </w:divsChild>
    </w:div>
    <w:div w:id="422994191">
      <w:bodyDiv w:val="1"/>
      <w:marLeft w:val="0"/>
      <w:marRight w:val="0"/>
      <w:marTop w:val="0"/>
      <w:marBottom w:val="0"/>
      <w:divBdr>
        <w:top w:val="none" w:sz="0" w:space="0" w:color="auto"/>
        <w:left w:val="none" w:sz="0" w:space="0" w:color="auto"/>
        <w:bottom w:val="none" w:sz="0" w:space="0" w:color="auto"/>
        <w:right w:val="none" w:sz="0" w:space="0" w:color="auto"/>
      </w:divBdr>
    </w:div>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040275994">
      <w:bodyDiv w:val="1"/>
      <w:marLeft w:val="0"/>
      <w:marRight w:val="0"/>
      <w:marTop w:val="0"/>
      <w:marBottom w:val="0"/>
      <w:divBdr>
        <w:top w:val="none" w:sz="0" w:space="0" w:color="auto"/>
        <w:left w:val="none" w:sz="0" w:space="0" w:color="auto"/>
        <w:bottom w:val="none" w:sz="0" w:space="0" w:color="auto"/>
        <w:right w:val="none" w:sz="0" w:space="0" w:color="auto"/>
      </w:divBdr>
      <w:divsChild>
        <w:div w:id="1342661524">
          <w:marLeft w:val="0"/>
          <w:marRight w:val="0"/>
          <w:marTop w:val="0"/>
          <w:marBottom w:val="0"/>
          <w:divBdr>
            <w:top w:val="none" w:sz="0" w:space="0" w:color="auto"/>
            <w:left w:val="none" w:sz="0" w:space="0" w:color="auto"/>
            <w:bottom w:val="none" w:sz="0" w:space="0" w:color="auto"/>
            <w:right w:val="none" w:sz="0" w:space="0" w:color="auto"/>
          </w:divBdr>
        </w:div>
      </w:divsChild>
    </w:div>
    <w:div w:id="1056007674">
      <w:bodyDiv w:val="1"/>
      <w:marLeft w:val="0"/>
      <w:marRight w:val="0"/>
      <w:marTop w:val="0"/>
      <w:marBottom w:val="0"/>
      <w:divBdr>
        <w:top w:val="none" w:sz="0" w:space="0" w:color="auto"/>
        <w:left w:val="none" w:sz="0" w:space="0" w:color="auto"/>
        <w:bottom w:val="none" w:sz="0" w:space="0" w:color="auto"/>
        <w:right w:val="none" w:sz="0" w:space="0" w:color="auto"/>
      </w:divBdr>
      <w:divsChild>
        <w:div w:id="1566992810">
          <w:marLeft w:val="0"/>
          <w:marRight w:val="0"/>
          <w:marTop w:val="0"/>
          <w:marBottom w:val="0"/>
          <w:divBdr>
            <w:top w:val="none" w:sz="0" w:space="0" w:color="auto"/>
            <w:left w:val="none" w:sz="0" w:space="0" w:color="auto"/>
            <w:bottom w:val="none" w:sz="0" w:space="0" w:color="auto"/>
            <w:right w:val="none" w:sz="0" w:space="0" w:color="auto"/>
          </w:divBdr>
        </w:div>
      </w:divsChild>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506432470">
      <w:bodyDiv w:val="1"/>
      <w:marLeft w:val="0"/>
      <w:marRight w:val="0"/>
      <w:marTop w:val="0"/>
      <w:marBottom w:val="0"/>
      <w:divBdr>
        <w:top w:val="none" w:sz="0" w:space="0" w:color="auto"/>
        <w:left w:val="none" w:sz="0" w:space="0" w:color="auto"/>
        <w:bottom w:val="none" w:sz="0" w:space="0" w:color="auto"/>
        <w:right w:val="none" w:sz="0" w:space="0" w:color="auto"/>
      </w:divBdr>
      <w:divsChild>
        <w:div w:id="267932410">
          <w:marLeft w:val="0"/>
          <w:marRight w:val="0"/>
          <w:marTop w:val="0"/>
          <w:marBottom w:val="0"/>
          <w:divBdr>
            <w:top w:val="none" w:sz="0" w:space="0" w:color="auto"/>
            <w:left w:val="none" w:sz="0" w:space="0" w:color="auto"/>
            <w:bottom w:val="none" w:sz="0" w:space="0" w:color="auto"/>
            <w:right w:val="none" w:sz="0" w:space="0" w:color="auto"/>
          </w:divBdr>
        </w:div>
      </w:divsChild>
    </w:div>
    <w:div w:id="1619289183">
      <w:bodyDiv w:val="1"/>
      <w:marLeft w:val="0"/>
      <w:marRight w:val="0"/>
      <w:marTop w:val="0"/>
      <w:marBottom w:val="0"/>
      <w:divBdr>
        <w:top w:val="none" w:sz="0" w:space="0" w:color="auto"/>
        <w:left w:val="none" w:sz="0" w:space="0" w:color="auto"/>
        <w:bottom w:val="none" w:sz="0" w:space="0" w:color="auto"/>
        <w:right w:val="none" w:sz="0" w:space="0" w:color="auto"/>
      </w:divBdr>
      <w:divsChild>
        <w:div w:id="779571989">
          <w:marLeft w:val="0"/>
          <w:marRight w:val="0"/>
          <w:marTop w:val="0"/>
          <w:marBottom w:val="0"/>
          <w:divBdr>
            <w:top w:val="none" w:sz="0" w:space="0" w:color="auto"/>
            <w:left w:val="none" w:sz="0" w:space="0" w:color="auto"/>
            <w:bottom w:val="none" w:sz="0" w:space="0" w:color="auto"/>
            <w:right w:val="none" w:sz="0" w:space="0" w:color="auto"/>
          </w:divBdr>
        </w:div>
      </w:divsChild>
    </w:div>
    <w:div w:id="1724983024">
      <w:bodyDiv w:val="1"/>
      <w:marLeft w:val="0"/>
      <w:marRight w:val="0"/>
      <w:marTop w:val="0"/>
      <w:marBottom w:val="0"/>
      <w:divBdr>
        <w:top w:val="none" w:sz="0" w:space="0" w:color="auto"/>
        <w:left w:val="none" w:sz="0" w:space="0" w:color="auto"/>
        <w:bottom w:val="none" w:sz="0" w:space="0" w:color="auto"/>
        <w:right w:val="none" w:sz="0" w:space="0" w:color="auto"/>
      </w:divBdr>
      <w:divsChild>
        <w:div w:id="825509371">
          <w:marLeft w:val="0"/>
          <w:marRight w:val="0"/>
          <w:marTop w:val="0"/>
          <w:marBottom w:val="0"/>
          <w:divBdr>
            <w:top w:val="none" w:sz="0" w:space="0" w:color="auto"/>
            <w:left w:val="none" w:sz="0" w:space="0" w:color="auto"/>
            <w:bottom w:val="none" w:sz="0" w:space="0" w:color="auto"/>
            <w:right w:val="none" w:sz="0" w:space="0" w:color="auto"/>
          </w:divBdr>
        </w:div>
        <w:div w:id="1108543535">
          <w:marLeft w:val="0"/>
          <w:marRight w:val="0"/>
          <w:marTop w:val="0"/>
          <w:marBottom w:val="0"/>
          <w:divBdr>
            <w:top w:val="none" w:sz="0" w:space="0" w:color="auto"/>
            <w:left w:val="none" w:sz="0" w:space="0" w:color="auto"/>
            <w:bottom w:val="none" w:sz="0" w:space="0" w:color="auto"/>
            <w:right w:val="none" w:sz="0" w:space="0" w:color="auto"/>
          </w:divBdr>
        </w:div>
        <w:div w:id="273752053">
          <w:marLeft w:val="0"/>
          <w:marRight w:val="0"/>
          <w:marTop w:val="0"/>
          <w:marBottom w:val="0"/>
          <w:divBdr>
            <w:top w:val="none" w:sz="0" w:space="0" w:color="auto"/>
            <w:left w:val="none" w:sz="0" w:space="0" w:color="auto"/>
            <w:bottom w:val="none" w:sz="0" w:space="0" w:color="auto"/>
            <w:right w:val="none" w:sz="0" w:space="0" w:color="auto"/>
          </w:divBdr>
        </w:div>
        <w:div w:id="461382120">
          <w:marLeft w:val="0"/>
          <w:marRight w:val="0"/>
          <w:marTop w:val="0"/>
          <w:marBottom w:val="0"/>
          <w:divBdr>
            <w:top w:val="none" w:sz="0" w:space="0" w:color="auto"/>
            <w:left w:val="none" w:sz="0" w:space="0" w:color="auto"/>
            <w:bottom w:val="none" w:sz="0" w:space="0" w:color="auto"/>
            <w:right w:val="none" w:sz="0" w:space="0" w:color="auto"/>
          </w:divBdr>
        </w:div>
        <w:div w:id="1339694174">
          <w:marLeft w:val="0"/>
          <w:marRight w:val="0"/>
          <w:marTop w:val="0"/>
          <w:marBottom w:val="0"/>
          <w:divBdr>
            <w:top w:val="none" w:sz="0" w:space="0" w:color="auto"/>
            <w:left w:val="none" w:sz="0" w:space="0" w:color="auto"/>
            <w:bottom w:val="none" w:sz="0" w:space="0" w:color="auto"/>
            <w:right w:val="none" w:sz="0" w:space="0" w:color="auto"/>
          </w:divBdr>
        </w:div>
        <w:div w:id="1378774430">
          <w:marLeft w:val="0"/>
          <w:marRight w:val="0"/>
          <w:marTop w:val="0"/>
          <w:marBottom w:val="0"/>
          <w:divBdr>
            <w:top w:val="none" w:sz="0" w:space="0" w:color="auto"/>
            <w:left w:val="none" w:sz="0" w:space="0" w:color="auto"/>
            <w:bottom w:val="none" w:sz="0" w:space="0" w:color="auto"/>
            <w:right w:val="none" w:sz="0" w:space="0" w:color="auto"/>
          </w:divBdr>
        </w:div>
        <w:div w:id="1575386279">
          <w:marLeft w:val="0"/>
          <w:marRight w:val="0"/>
          <w:marTop w:val="0"/>
          <w:marBottom w:val="0"/>
          <w:divBdr>
            <w:top w:val="none" w:sz="0" w:space="0" w:color="auto"/>
            <w:left w:val="none" w:sz="0" w:space="0" w:color="auto"/>
            <w:bottom w:val="none" w:sz="0" w:space="0" w:color="auto"/>
            <w:right w:val="none" w:sz="0" w:space="0" w:color="auto"/>
          </w:divBdr>
        </w:div>
        <w:div w:id="1205483583">
          <w:marLeft w:val="0"/>
          <w:marRight w:val="0"/>
          <w:marTop w:val="0"/>
          <w:marBottom w:val="0"/>
          <w:divBdr>
            <w:top w:val="none" w:sz="0" w:space="0" w:color="auto"/>
            <w:left w:val="none" w:sz="0" w:space="0" w:color="auto"/>
            <w:bottom w:val="none" w:sz="0" w:space="0" w:color="auto"/>
            <w:right w:val="none" w:sz="0" w:space="0" w:color="auto"/>
          </w:divBdr>
        </w:div>
      </w:divsChild>
    </w:div>
    <w:div w:id="1809738041">
      <w:bodyDiv w:val="1"/>
      <w:marLeft w:val="0"/>
      <w:marRight w:val="0"/>
      <w:marTop w:val="0"/>
      <w:marBottom w:val="0"/>
      <w:divBdr>
        <w:top w:val="none" w:sz="0" w:space="0" w:color="auto"/>
        <w:left w:val="none" w:sz="0" w:space="0" w:color="auto"/>
        <w:bottom w:val="none" w:sz="0" w:space="0" w:color="auto"/>
        <w:right w:val="none" w:sz="0" w:space="0" w:color="auto"/>
      </w:divBdr>
      <w:divsChild>
        <w:div w:id="817108172">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www.ncbi.nlm.nih.gov/pubmed/?term=Cantanhede%20LM%5BAuthor%5D&amp;cauthor=true&amp;cauthor_uid=27649968" TargetMode="External"/><Relationship Id="rId18" Type="http://schemas.openxmlformats.org/officeDocument/2006/relationships/hyperlink" Target="https://www.ncbi.nlm.nih.gov/pubmed/29075032" TargetMode="External"/><Relationship Id="rId3" Type="http://schemas.openxmlformats.org/officeDocument/2006/relationships/settings" Target="settings.xml"/><Relationship Id="rId21" Type="http://schemas.openxmlformats.org/officeDocument/2006/relationships/hyperlink" Target="https://www.ncbi.nlm.nih.gov/pubmed/29275849" TargetMode="External"/><Relationship Id="rId7" Type="http://schemas.openxmlformats.org/officeDocument/2006/relationships/header" Target="header1.xml"/><Relationship Id="rId12" Type="http://schemas.openxmlformats.org/officeDocument/2006/relationships/hyperlink" Target="https://www.ncbi.nlm.nih.gov/pubmed/?term=Ribeiro%20CC%5BAuthor%5D&amp;cauthor=true&amp;cauthor_uid=27649968" TargetMode="External"/><Relationship Id="rId17" Type="http://schemas.openxmlformats.org/officeDocument/2006/relationships/hyperlink" Target="https://www.ncbi.nlm.nih.gov/pubmed/27649968" TargetMode="External"/><Relationship Id="rId25" Type="http://schemas.microsoft.com/office/2007/relationships/stylesWithEffects" Target="stylesWithEffects.xml"/><Relationship Id="rId2" Type="http://schemas.openxmlformats.org/officeDocument/2006/relationships/styles" Target="styles.xml"/><Relationship Id="rId16" Type="http://schemas.openxmlformats.org/officeDocument/2006/relationships/hyperlink" Target="https://www.ncbi.nlm.nih.gov/pubmed/?term=Pereira%20AL%5BAuthor%5D&amp;cauthor=true&amp;cauthor_uid=27649968" TargetMode="External"/><Relationship Id="rId20" Type="http://schemas.openxmlformats.org/officeDocument/2006/relationships/hyperlink" Target="https://www.ncbi.nlm.nih.gov/pubmed/29909718"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ncbi.nlm.nih.gov/pubmed/?term=Costa%20LA%5BAuthor%5D&amp;cauthor=true&amp;cauthor_uid=27649968" TargetMode="External"/><Relationship Id="rId24"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s://www.ncbi.nlm.nih.gov/pubmed/?term=de%20Mendon%C3%A7a%20MR%5BAuthor%5D&amp;cauthor=true&amp;cauthor_uid=27649968" TargetMode="External"/><Relationship Id="rId23" Type="http://schemas.openxmlformats.org/officeDocument/2006/relationships/fontTable" Target="fontTable.xml"/><Relationship Id="rId10" Type="http://schemas.openxmlformats.org/officeDocument/2006/relationships/hyperlink" Target="https://www.ncbi.nlm.nih.gov/pubmed/29179382" TargetMode="External"/><Relationship Id="rId19" Type="http://schemas.openxmlformats.org/officeDocument/2006/relationships/hyperlink" Target="https://www.ncbi.nlm.nih.gov/pubmed/24597744"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www.ncbi.nlm.nih.gov/pubmed/?term=Santiago%20J%C3%BAnior%20JF%5BAuthor%5D&amp;cauthor=true&amp;cauthor_uid=27649968" TargetMode="External"/><Relationship Id="rId22"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4</TotalTime>
  <Pages>2</Pages>
  <Words>805</Words>
  <Characters>4433</Characters>
  <Application>Microsoft Office Word</Application>
  <DocSecurity>0</DocSecurity>
  <Lines>36</Lines>
  <Paragraphs>10</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5228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Merieme</cp:lastModifiedBy>
  <cp:revision>4</cp:revision>
  <dcterms:created xsi:type="dcterms:W3CDTF">2018-11-15T20:09:00Z</dcterms:created>
  <dcterms:modified xsi:type="dcterms:W3CDTF">2018-11-15T20:13:00Z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