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0"/>
          <w:bCs w:val="0"/>
          <w:sz w:val="62"/>
          <w:szCs w:val="62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sz w:val="62"/>
          <w:szCs w:val="62"/>
          <w:shd w:val="clear" w:color="auto" w:fill="fefffe"/>
          <w:rtl w:val="0"/>
          <w:lang w:val="en-US"/>
        </w:rPr>
        <w:t>Relationships of Parkinson</w:t>
      </w:r>
      <w:r>
        <w:rPr>
          <w:rFonts w:ascii="Times New Roman" w:hAnsi="Times New Roman" w:hint="default"/>
          <w:b w:val="1"/>
          <w:bCs w:val="1"/>
          <w:sz w:val="62"/>
          <w:szCs w:val="62"/>
          <w:shd w:val="clear" w:color="auto" w:fill="fefffe"/>
          <w:rtl w:val="0"/>
          <w:lang w:val="en-US"/>
        </w:rPr>
        <w:t>’</w:t>
      </w:r>
      <w:r>
        <w:rPr>
          <w:rFonts w:ascii="Times New Roman" w:hAnsi="Times New Roman"/>
          <w:b w:val="1"/>
          <w:bCs w:val="1"/>
          <w:sz w:val="62"/>
          <w:szCs w:val="62"/>
          <w:shd w:val="clear" w:color="auto" w:fill="fefffe"/>
          <w:rtl w:val="0"/>
          <w:lang w:val="en-US"/>
        </w:rPr>
        <w:t xml:space="preserve">s disease risks </w:t>
      </w:r>
      <w:r>
        <w:rPr>
          <w:rFonts w:ascii="Times New Roman" w:hAnsi="Times New Roman"/>
          <w:b w:val="1"/>
          <w:bCs w:val="1"/>
          <w:sz w:val="62"/>
          <w:szCs w:val="62"/>
          <w:shd w:val="clear" w:color="auto" w:fill="fefffe"/>
          <w:rtl w:val="0"/>
          <w:lang w:val="en-US"/>
        </w:rPr>
        <w:t xml:space="preserve">and three glycemic intensities of type 2 diabetes </w:t>
      </w:r>
      <w:r>
        <w:rPr>
          <w:rFonts w:ascii="Times New Roman" w:hAnsi="Times New Roman"/>
          <w:b w:val="1"/>
          <w:bCs w:val="1"/>
          <w:sz w:val="62"/>
          <w:szCs w:val="62"/>
          <w:shd w:val="clear" w:color="auto" w:fill="fefffe"/>
          <w:rtl w:val="0"/>
          <w:lang w:val="en-US"/>
        </w:rPr>
        <w:t>using</w:t>
      </w:r>
      <w:r>
        <w:rPr>
          <w:rFonts w:ascii="Times New Roman" w:hAnsi="Times New Roman"/>
          <w:b w:val="1"/>
          <w:bCs w:val="1"/>
          <w:sz w:val="62"/>
          <w:szCs w:val="62"/>
          <w:shd w:val="clear" w:color="auto" w:fill="fefffe"/>
          <w:rtl w:val="0"/>
          <w:lang w:val="en-US"/>
        </w:rPr>
        <w:t xml:space="preserve"> viscoplastic energy model of GH-Method: math-physical medicine</w:t>
      </w:r>
      <w:r>
        <w:rPr>
          <w:rFonts w:ascii="Times New Roman" w:hAnsi="Times New Roman"/>
          <w:b w:val="1"/>
          <w:bCs w:val="1"/>
          <w:sz w:val="62"/>
          <w:szCs w:val="62"/>
          <w:shd w:val="clear" w:color="auto" w:fill="fefffe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sz w:val="62"/>
          <w:szCs w:val="62"/>
          <w:shd w:val="clear" w:color="auto" w:fill="fefffe"/>
          <w:rtl w:val="0"/>
          <w:lang w:val="it-IT"/>
        </w:rPr>
        <w:t xml:space="preserve">(No. </w:t>
      </w:r>
      <w:r>
        <w:rPr>
          <w:rFonts w:ascii="Times New Roman" w:hAnsi="Times New Roman"/>
          <w:b w:val="1"/>
          <w:bCs w:val="1"/>
          <w:sz w:val="62"/>
          <w:szCs w:val="62"/>
          <w:shd w:val="clear" w:color="auto" w:fill="fefffe"/>
          <w:rtl w:val="0"/>
          <w:lang w:val="en-US"/>
        </w:rPr>
        <w:t>987,</w:t>
      </w:r>
      <w:r>
        <w:rPr>
          <w:rFonts w:ascii="Times New Roman" w:hAnsi="Times New Roman"/>
          <w:b w:val="1"/>
          <w:bCs w:val="1"/>
          <w:sz w:val="62"/>
          <w:szCs w:val="62"/>
          <w:shd w:val="clear" w:color="auto" w:fill="fefffe"/>
          <w:rtl w:val="0"/>
        </w:rPr>
        <w:t xml:space="preserve"> V</w:t>
      </w:r>
      <w:r>
        <w:rPr>
          <w:rFonts w:ascii="Times New Roman" w:hAnsi="Times New Roman"/>
          <w:b w:val="1"/>
          <w:bCs w:val="1"/>
          <w:sz w:val="62"/>
          <w:szCs w:val="62"/>
          <w:shd w:val="clear" w:color="auto" w:fill="fefffe"/>
          <w:rtl w:val="0"/>
          <w:lang w:val="en-US"/>
        </w:rPr>
        <w:t>MT</w:t>
      </w:r>
      <w:r>
        <w:rPr>
          <w:rFonts w:ascii="Times New Roman" w:hAnsi="Times New Roman"/>
          <w:b w:val="1"/>
          <w:bCs w:val="1"/>
          <w:sz w:val="62"/>
          <w:szCs w:val="62"/>
          <w:shd w:val="clear" w:color="auto" w:fill="fefffe"/>
          <w:rtl w:val="0"/>
        </w:rPr>
        <w:t xml:space="preserve"> #</w:t>
      </w:r>
      <w:r>
        <w:rPr>
          <w:rFonts w:ascii="Times New Roman" w:hAnsi="Times New Roman"/>
          <w:b w:val="1"/>
          <w:bCs w:val="1"/>
          <w:sz w:val="62"/>
          <w:szCs w:val="62"/>
          <w:shd w:val="clear" w:color="auto" w:fill="fefffe"/>
          <w:rtl w:val="0"/>
          <w:lang w:val="en-US"/>
        </w:rPr>
        <w:t>386</w:t>
      </w:r>
      <w:r>
        <w:rPr>
          <w:rFonts w:ascii="Times New Roman" w:hAnsi="Times New Roman"/>
          <w:b w:val="1"/>
          <w:bCs w:val="1"/>
          <w:sz w:val="62"/>
          <w:szCs w:val="62"/>
          <w:shd w:val="clear" w:color="auto" w:fill="fefffe"/>
          <w:rtl w:val="0"/>
        </w:rPr>
        <w:t xml:space="preserve">, </w:t>
      </w:r>
      <w:r>
        <w:rPr>
          <w:rFonts w:ascii="Times New Roman" w:hAnsi="Times New Roman"/>
          <w:b w:val="1"/>
          <w:bCs w:val="1"/>
          <w:sz w:val="62"/>
          <w:szCs w:val="62"/>
          <w:shd w:val="clear" w:color="auto" w:fill="fefffe"/>
          <w:rtl w:val="0"/>
          <w:lang w:val="en-US"/>
        </w:rPr>
        <w:t>12/4/</w:t>
      </w:r>
      <w:r>
        <w:rPr>
          <w:rFonts w:ascii="Times New Roman" w:hAnsi="Times New Roman"/>
          <w:b w:val="1"/>
          <w:bCs w:val="1"/>
          <w:sz w:val="62"/>
          <w:szCs w:val="62"/>
          <w:shd w:val="clear" w:color="auto" w:fill="fefffe"/>
          <w:rtl w:val="0"/>
        </w:rPr>
        <w:t>2023)</w:t>
      </w:r>
      <w:r>
        <w:rPr>
          <w:rFonts w:ascii="Times New Roman" w:hAnsi="Times New Roman"/>
          <w:b w:val="1"/>
          <w:bCs w:val="1"/>
          <w:sz w:val="62"/>
          <w:szCs w:val="62"/>
          <w:shd w:val="clear" w:color="auto" w:fill="fefffe"/>
          <w:rtl w:val="0"/>
          <w:lang w:val="en-US"/>
        </w:rPr>
        <w:t xml:space="preserve">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62"/>
          <w:szCs w:val="62"/>
          <w:shd w:val="clear" w:color="auto" w:fill="feffff"/>
          <w:rtl w:val="0"/>
        </w:rPr>
      </w:pPr>
      <w:r>
        <w:rPr>
          <w:rFonts w:ascii="Times New Roman" w:hAnsi="Times New Roman" w:hint="default"/>
          <w:sz w:val="62"/>
          <w:szCs w:val="62"/>
          <w:shd w:val="clear" w:color="auto" w:fill="feffff"/>
          <w:rtl w:val="0"/>
        </w:rPr>
        <w:t> </w:t>
      </w:r>
      <w:r>
        <w:rPr>
          <w:rFonts w:ascii="Times New Roman" w:hAnsi="Times New Roman"/>
          <w:sz w:val="62"/>
          <w:szCs w:val="62"/>
          <w:shd w:val="clear" w:color="auto" w:fill="feffff"/>
          <w:rtl w:val="0"/>
          <w:lang w:val="en-US"/>
        </w:rPr>
        <w:t xml:space="preserve">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62"/>
          <w:szCs w:val="62"/>
          <w:shd w:val="clear" w:color="auto" w:fill="feffff"/>
          <w:rtl w:val="0"/>
        </w:rPr>
      </w:pPr>
      <w:r>
        <w:rPr>
          <w:rFonts w:ascii="Times New Roman" w:hAnsi="Times New Roman" w:hint="default"/>
          <w:sz w:val="62"/>
          <w:szCs w:val="62"/>
          <w:shd w:val="clear" w:color="auto" w:fill="feffff"/>
          <w:rtl w:val="0"/>
        </w:rPr>
        <w:t> 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62"/>
          <w:szCs w:val="62"/>
          <w:shd w:val="clear" w:color="auto" w:fill="feffff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effff"/>
          <w:rtl w:val="0"/>
        </w:rPr>
        <w:t xml:space="preserve">Category: </w:t>
      </w:r>
      <w:r>
        <w:rPr>
          <w:rFonts w:ascii="Times New Roman" w:hAnsi="Times New Roman" w:hint="default"/>
          <w:b w:val="1"/>
          <w:bCs w:val="1"/>
          <w:i w:val="1"/>
          <w:iCs w:val="1"/>
          <w:sz w:val="62"/>
          <w:szCs w:val="62"/>
          <w:shd w:val="clear" w:color="auto" w:fill="feffff"/>
          <w:rtl w:val="0"/>
        </w:rPr>
        <w:t> 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effff"/>
          <w:rtl w:val="0"/>
          <w:lang w:val="en-US"/>
        </w:rPr>
        <w:t>Dementia &amp; Diabetes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62"/>
          <w:szCs w:val="62"/>
          <w:shd w:val="clear" w:color="auto" w:fill="feffff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>Abstract: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 xml:space="preserve">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62"/>
          <w:szCs w:val="62"/>
          <w:shd w:val="clear" w:color="auto" w:fill="ffffff"/>
          <w:rtl w:val="0"/>
        </w:rPr>
      </w:pPr>
    </w:p>
    <w:p>
      <w:pPr>
        <w:pStyle w:val="Default"/>
        <w:bidi w:val="0"/>
        <w:spacing w:before="0" w:after="40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374051"/>
          <w:sz w:val="62"/>
          <w:szCs w:val="62"/>
          <w:shd w:val="clear" w:color="auto" w:fill="ffffff"/>
          <w:rtl w:val="0"/>
          <w14:textFill>
            <w14:solidFill>
              <w14:srgbClr w14:val="374151"/>
            </w14:solidFill>
          </w14:textFill>
        </w:rPr>
      </w:pP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Diabetes is believed to affect a significant portion, approximately 81%, of individuals with Alzheimer's disease (AD). 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Additionally, a range of 50% to 80% (with an average of 65%) of Parkinson's disease (PD) patients may also have diabetes. 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In a comprehensive meta-analysis comprising seven observational cohort studies involving over 1,761,000 individuals, it was observed that 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individuals with diabetes had a 38% higher risk of developing PD compared to those without diabetes. 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>This risk was even more pronounced, with a 50% increase in females and a 40% increase in males.</w:t>
      </w:r>
    </w:p>
    <w:p>
      <w:pPr>
        <w:pStyle w:val="Default"/>
        <w:bidi w:val="0"/>
        <w:spacing w:before="0" w:after="40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374051"/>
          <w:sz w:val="62"/>
          <w:szCs w:val="62"/>
          <w:shd w:val="clear" w:color="auto" w:fill="ffffff"/>
          <w:rtl w:val="0"/>
          <w14:textFill>
            <w14:solidFill>
              <w14:srgbClr w14:val="374151"/>
            </w14:solidFill>
          </w14:textFill>
        </w:rPr>
      </w:pP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>From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 a pathophysiological perspective, there exists a intricate connection between Parkinson's disease and metabolic disorders, particularly type 2 diabetes.</w:t>
      </w:r>
    </w:p>
    <w:p>
      <w:pPr>
        <w:pStyle w:val="Default"/>
        <w:bidi w:val="0"/>
        <w:spacing w:before="0" w:after="40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374051"/>
          <w:sz w:val="62"/>
          <w:szCs w:val="62"/>
          <w:shd w:val="clear" w:color="auto" w:fill="ffffff"/>
          <w:rtl w:val="0"/>
          <w14:textFill>
            <w14:solidFill>
              <w14:srgbClr w14:val="374151"/>
            </w14:solidFill>
          </w14:textFill>
        </w:rPr>
      </w:pP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>The American Diabetes Association classifies glucose levels as follows: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b w:val="1"/>
          <w:bCs w:val="1"/>
          <w:i w:val="1"/>
          <w:iCs w:val="1"/>
          <w:outline w:val="0"/>
          <w:color w:val="374051"/>
          <w:sz w:val="62"/>
          <w:szCs w:val="62"/>
          <w:rtl w:val="0"/>
          <w:lang w:val="en-US"/>
          <w14:textFill>
            <w14:solidFill>
              <w14:srgbClr w14:val="374151"/>
            </w14:solidFill>
          </w14:textFill>
        </w:rPr>
      </w:pPr>
      <w:r>
        <w:rPr>
          <w:rFonts w:ascii="Times New Roman" w:hAnsi="Times New Roman"/>
          <w:b w:val="1"/>
          <w:bCs w:val="1"/>
          <w:i w:val="1"/>
          <w:iCs w:val="1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>Hyperglycemia (glucose above 180 mg/dL)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b w:val="1"/>
          <w:bCs w:val="1"/>
          <w:i w:val="1"/>
          <w:iCs w:val="1"/>
          <w:outline w:val="0"/>
          <w:color w:val="374051"/>
          <w:sz w:val="62"/>
          <w:szCs w:val="62"/>
          <w:rtl w:val="0"/>
          <w14:textFill>
            <w14:solidFill>
              <w14:srgbClr w14:val="374151"/>
            </w14:solidFill>
          </w14:textFill>
        </w:rPr>
      </w:pPr>
      <w:r>
        <w:rPr>
          <w:rFonts w:ascii="Times New Roman" w:hAnsi="Times New Roman"/>
          <w:b w:val="1"/>
          <w:bCs w:val="1"/>
          <w:i w:val="1"/>
          <w:iCs w:val="1"/>
          <w:outline w:val="0"/>
          <w:color w:val="374051"/>
          <w:sz w:val="62"/>
          <w:szCs w:val="62"/>
          <w:shd w:val="clear" w:color="auto" w:fill="ffffff"/>
          <w:rtl w:val="0"/>
          <w14:textFill>
            <w14:solidFill>
              <w14:srgbClr w14:val="374151"/>
            </w14:solidFill>
          </w14:textFill>
        </w:rPr>
        <w:t>Hypoglycemia (glucose below 70 mg/dL)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b w:val="1"/>
          <w:bCs w:val="1"/>
          <w:i w:val="1"/>
          <w:iCs w:val="1"/>
          <w:outline w:val="0"/>
          <w:color w:val="374051"/>
          <w:sz w:val="62"/>
          <w:szCs w:val="62"/>
          <w:rtl w:val="0"/>
          <w:lang w:val="en-US"/>
          <w14:textFill>
            <w14:solidFill>
              <w14:srgbClr w14:val="374151"/>
            </w14:solidFill>
          </w14:textFill>
        </w:rPr>
      </w:pPr>
      <w:r>
        <w:rPr>
          <w:rFonts w:ascii="Times New Roman" w:hAnsi="Times New Roman"/>
          <w:b w:val="1"/>
          <w:bCs w:val="1"/>
          <w:i w:val="1"/>
          <w:iCs w:val="1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>Normal Glycemic (glucose between 70 and 180 mg/dL)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 </w:t>
      </w:r>
    </w:p>
    <w:p>
      <w:pPr>
        <w:pStyle w:val="Default"/>
        <w:bidi w:val="0"/>
        <w:spacing w:before="0" w:after="40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374051"/>
          <w:sz w:val="62"/>
          <w:szCs w:val="62"/>
          <w:shd w:val="clear" w:color="auto" w:fill="ffffff"/>
          <w:rtl w:val="0"/>
          <w14:textFill>
            <w14:solidFill>
              <w14:srgbClr w14:val="374151"/>
            </w14:solidFill>
          </w14:textFill>
        </w:rPr>
      </w:pPr>
    </w:p>
    <w:p>
      <w:pPr>
        <w:pStyle w:val="Default"/>
        <w:bidi w:val="0"/>
        <w:spacing w:before="0" w:after="40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374051"/>
          <w:sz w:val="62"/>
          <w:szCs w:val="62"/>
          <w:shd w:val="clear" w:color="auto" w:fill="ffffff"/>
          <w:rtl w:val="0"/>
          <w14:textFill>
            <w14:solidFill>
              <w14:srgbClr w14:val="374151"/>
            </w14:solidFill>
          </w14:textFill>
        </w:rPr>
      </w:pP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This paper delves into the author's 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risk probability of developing 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Parkinson's disease (PD) in relation to 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his 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fr-FR"/>
          <w14:textFill>
            <w14:solidFill>
              <w14:srgbClr w14:val="374151"/>
            </w14:solidFill>
          </w14:textFill>
        </w:rPr>
        <w:t>type 2 diabetes condition.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  He 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introduces a novel concept called 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>"glycemic intensities (GI)"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fr-FR"/>
          <w14:textFill>
            <w14:solidFill>
              <w14:srgbClr w14:val="374151"/>
            </w14:solidFill>
          </w14:textFill>
        </w:rPr>
        <w:t xml:space="preserve"> as new biomarkers to study various diabetic complications. 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Those 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>GI values are calculated as the product of average glucose levels and their frequency of occurrence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>, potentially shedding light on the impact of diabetes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 control and glucose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 management on the development of 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various mortality 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fr-FR"/>
          <w14:textFill>
            <w14:solidFill>
              <w14:srgbClr w14:val="374151"/>
            </w14:solidFill>
          </w14:textFill>
        </w:rPr>
        <w:t>conditions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>,</w:t>
      </w: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 xml:space="preserve"> such as PD.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374051"/>
          <w:sz w:val="62"/>
          <w:szCs w:val="62"/>
          <w:shd w:val="clear" w:color="auto" w:fill="ffffff"/>
          <w:rtl w:val="0"/>
          <w14:textFill>
            <w14:solidFill>
              <w14:srgbClr w14:val="374151"/>
            </w14:solidFill>
          </w14:textFill>
        </w:rPr>
      </w:pPr>
      <w:r>
        <w:rPr>
          <w:rFonts w:ascii="Times New Roman" w:hAnsi="Times New Roman"/>
          <w:outline w:val="0"/>
          <w:color w:val="374051"/>
          <w:sz w:val="62"/>
          <w:szCs w:val="62"/>
          <w:shd w:val="clear" w:color="auto" w:fill="ffffff"/>
          <w:rtl w:val="0"/>
          <w:lang w:val="en-US"/>
          <w14:textFill>
            <w14:solidFill>
              <w14:srgbClr w14:val="374151"/>
            </w14:solidFill>
          </w14:textFill>
        </w:rPr>
        <w:t>This study assesses the author's PD risk using three T2D-GI measures: TAR-GI (TAR), TBR-GI (TBR), and TIR-GI (TIR), utilizing personal data collected from August 1, 2018, to December 2, 2023.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374051"/>
          <w:sz w:val="62"/>
          <w:szCs w:val="62"/>
          <w:shd w:val="clear" w:color="auto" w:fill="ffffff"/>
          <w:rtl w:val="0"/>
          <w14:textFill>
            <w14:solidFill>
              <w14:srgbClr w14:val="374151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0"/>
          <w:bCs w:val="0"/>
          <w:i w:val="0"/>
          <w:iCs w:val="0"/>
          <w:sz w:val="62"/>
          <w:szCs w:val="62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</w:rPr>
        <w:t>In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 xml:space="preserve"> summar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>y,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sz w:val="62"/>
          <w:szCs w:val="62"/>
          <w:shd w:val="clear" w:color="auto" w:fill="ffffff"/>
          <w:rtl w:val="0"/>
          <w:lang w:val="en-US"/>
        </w:rPr>
        <w:t>the author utilizes the space-domain viscoplastic energy (SD-VMT) method to explore the underlying connections and dynamics (i.e.</w:t>
      </w:r>
      <w:r>
        <w:rPr>
          <w:rFonts w:ascii="Times New Roman" w:hAnsi="Times New Roman"/>
          <w:b w:val="0"/>
          <w:bCs w:val="0"/>
          <w:i w:val="0"/>
          <w:iCs w:val="0"/>
          <w:sz w:val="62"/>
          <w:szCs w:val="62"/>
          <w:shd w:val="clear" w:color="auto" w:fill="ffffff"/>
          <w:rtl w:val="0"/>
          <w:lang w:val="en-US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sz w:val="62"/>
          <w:szCs w:val="62"/>
          <w:shd w:val="clear" w:color="auto" w:fill="ffffff"/>
          <w:rtl w:val="0"/>
          <w:lang w:val="en-US"/>
        </w:rPr>
        <w:t xml:space="preserve">energies) between three diabetic </w:t>
      </w:r>
      <w:r>
        <w:rPr>
          <w:rFonts w:ascii="Times New Roman" w:hAnsi="Times New Roman"/>
          <w:b w:val="0"/>
          <w:bCs w:val="0"/>
          <w:i w:val="0"/>
          <w:iCs w:val="0"/>
          <w:sz w:val="62"/>
          <w:szCs w:val="62"/>
          <w:shd w:val="clear" w:color="auto" w:fill="ffffff"/>
          <w:rtl w:val="0"/>
          <w:lang w:val="en-US"/>
        </w:rPr>
        <w:t>glycemic intensity</w:t>
      </w:r>
      <w:r>
        <w:rPr>
          <w:rFonts w:ascii="Times New Roman" w:hAnsi="Times New Roman"/>
          <w:b w:val="0"/>
          <w:bCs w:val="0"/>
          <w:i w:val="0"/>
          <w:iCs w:val="0"/>
          <w:sz w:val="62"/>
          <w:szCs w:val="62"/>
          <w:shd w:val="clear" w:color="auto" w:fill="ffffff"/>
          <w:rtl w:val="0"/>
          <w:lang w:val="en-US"/>
        </w:rPr>
        <w:t xml:space="preserve"> (GI) inputs and the annual </w:t>
      </w:r>
      <w:r>
        <w:rPr>
          <w:rFonts w:ascii="Times New Roman" w:hAnsi="Times New Roman"/>
          <w:b w:val="0"/>
          <w:bCs w:val="0"/>
          <w:i w:val="0"/>
          <w:iCs w:val="0"/>
          <w:sz w:val="62"/>
          <w:szCs w:val="62"/>
          <w:shd w:val="clear" w:color="auto" w:fill="ffffff"/>
          <w:rtl w:val="0"/>
          <w:lang w:val="en-US"/>
        </w:rPr>
        <w:t>Parkinson</w:t>
      </w:r>
      <w:r>
        <w:rPr>
          <w:rFonts w:ascii="Times New Roman" w:hAnsi="Times New Roman" w:hint="default"/>
          <w:b w:val="0"/>
          <w:bCs w:val="0"/>
          <w:i w:val="0"/>
          <w:iCs w:val="0"/>
          <w:sz w:val="62"/>
          <w:szCs w:val="62"/>
          <w:shd w:val="clear" w:color="auto" w:fill="ffffff"/>
          <w:rtl w:val="0"/>
          <w:lang w:val="en-US"/>
        </w:rPr>
        <w:t>’</w:t>
      </w:r>
      <w:r>
        <w:rPr>
          <w:rFonts w:ascii="Times New Roman" w:hAnsi="Times New Roman"/>
          <w:b w:val="0"/>
          <w:bCs w:val="0"/>
          <w:i w:val="0"/>
          <w:iCs w:val="0"/>
          <w:sz w:val="62"/>
          <w:szCs w:val="62"/>
          <w:shd w:val="clear" w:color="auto" w:fill="ffffff"/>
          <w:rtl w:val="0"/>
          <w:lang w:val="en-US"/>
        </w:rPr>
        <w:t xml:space="preserve">s diseases </w:t>
      </w:r>
      <w:r>
        <w:rPr>
          <w:rFonts w:ascii="Times New Roman" w:hAnsi="Times New Roman"/>
          <w:b w:val="0"/>
          <w:bCs w:val="0"/>
          <w:i w:val="0"/>
          <w:iCs w:val="0"/>
          <w:sz w:val="62"/>
          <w:szCs w:val="62"/>
          <w:shd w:val="clear" w:color="auto" w:fill="ffffff"/>
          <w:rtl w:val="0"/>
        </w:rPr>
        <w:t>(</w:t>
      </w:r>
      <w:r>
        <w:rPr>
          <w:rFonts w:ascii="Times New Roman" w:hAnsi="Times New Roman"/>
          <w:b w:val="0"/>
          <w:bCs w:val="0"/>
          <w:i w:val="0"/>
          <w:iCs w:val="0"/>
          <w:sz w:val="62"/>
          <w:szCs w:val="62"/>
          <w:shd w:val="clear" w:color="auto" w:fill="ffffff"/>
          <w:rtl w:val="0"/>
          <w:lang w:val="en-US"/>
        </w:rPr>
        <w:t>PD</w:t>
      </w:r>
      <w:r>
        <w:rPr>
          <w:rFonts w:ascii="Times New Roman" w:hAnsi="Times New Roman"/>
          <w:b w:val="0"/>
          <w:bCs w:val="0"/>
          <w:i w:val="0"/>
          <w:iCs w:val="0"/>
          <w:sz w:val="62"/>
          <w:szCs w:val="62"/>
          <w:shd w:val="clear" w:color="auto" w:fill="ffffff"/>
          <w:rtl w:val="0"/>
          <w:lang w:val="en-US"/>
        </w:rPr>
        <w:t>) risk output: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62"/>
          <w:szCs w:val="62"/>
          <w:shd w:val="clear" w:color="auto" w:fill="ffffff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 xml:space="preserve">Energy from Time Above Range (TAR): 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>6.0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</w:rPr>
        <w:t>%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 xml:space="preserve">Energy from Time Below Range (TBR): 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>2.0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</w:rPr>
        <w:t>%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>Energy from Time in Range (TIR): 9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>2.0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</w:rPr>
        <w:t xml:space="preserve">%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62"/>
          <w:szCs w:val="62"/>
          <w:u w:val="single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u w:val="single"/>
          <w:shd w:val="clear" w:color="auto" w:fill="ffffff"/>
          <w:rtl w:val="0"/>
          <w:lang w:val="en-US"/>
        </w:rPr>
        <w:t>Key message: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>It is expected that the predominant contribution of TIR energy to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 xml:space="preserve"> his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</w:rPr>
        <w:t xml:space="preserve"> 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>Parkinson</w:t>
      </w:r>
      <w:r>
        <w:rPr>
          <w:rFonts w:ascii="Times New Roman" w:hAnsi="Times New Roman" w:hint="default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>’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 xml:space="preserve">s 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</w:rPr>
        <w:t xml:space="preserve">risk 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 xml:space="preserve">is 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it-IT"/>
        </w:rPr>
        <w:t xml:space="preserve">significant. 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>Notably, the finding indicating that the TAR-GI contribution (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>6.0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 xml:space="preserve">%) to 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 xml:space="preserve">various cancers 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 xml:space="preserve">risk is 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 xml:space="preserve">3 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>times higher than that of TBR-GI (2.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>0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>%) is of particular importance.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 xml:space="preserve">  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>The intensity of hyperglycemia can negatively impact internal organs, while the intensity of hypoglycemia can potentially lead to sudden death due to insulin shock.</w:t>
      </w:r>
      <w:r>
        <w:rPr>
          <w:rFonts w:ascii="Times New Roman" w:hAnsi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  <w:lang w:val="en-US"/>
        </w:rPr>
        <w:t xml:space="preserve">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62"/>
          <w:szCs w:val="62"/>
          <w:shd w:val="clear" w:color="auto" w:fill="ffffff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62"/>
          <w:szCs w:val="62"/>
          <w:shd w:val="clear" w:color="auto" w:fill="ffffff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62"/>
          <w:szCs w:val="62"/>
          <w:shd w:val="clear" w:color="auto" w:fill="ffffff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62"/>
          <w:szCs w:val="62"/>
          <w:shd w:val="clear" w:color="auto" w:fill="ffffff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62"/>
          <w:szCs w:val="62"/>
          <w:shd w:val="clear" w:color="auto" w:fill="ffffff"/>
          <w:rtl w:val="0"/>
        </w:rPr>
      </w:pPr>
      <w:r>
        <w:rPr>
          <w:rFonts w:ascii="Times New Roman" w:hAnsi="Times New Roman" w:hint="default"/>
          <w:sz w:val="62"/>
          <w:szCs w:val="62"/>
          <w:shd w:val="clear" w:color="auto" w:fill="ffffff"/>
          <w:rtl w:val="0"/>
        </w:rPr>
        <w:t> 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62"/>
          <w:szCs w:val="62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sz w:val="62"/>
          <w:szCs w:val="62"/>
          <w:shd w:val="clear" w:color="auto" w:fill="ffffff"/>
          <w:rtl w:val="0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-61771</wp:posOffset>
            </wp:positionH>
            <wp:positionV relativeFrom="page">
              <wp:posOffset>1448156</wp:posOffset>
            </wp:positionV>
            <wp:extent cx="6054443" cy="5671747"/>
            <wp:effectExtent l="0" t="0" r="0" b="0"/>
            <wp:wrapTopAndBottom distT="152400" distB="152400"/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4443" cy="56717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62"/>
          <w:szCs w:val="62"/>
          <w:shd w:val="clear" w:color="auto" w:fill="ffffff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Times New Roman" w:cs="Times New Roman" w:hAnsi="Times New Roman" w:eastAsia="Times New Roman"/>
          <w:sz w:val="62"/>
          <w:szCs w:val="62"/>
          <w:shd w:val="clear" w:color="auto" w:fill="ffffff"/>
          <w:rtl w:val="0"/>
        </w:rPr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1189" w:hanging="969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051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409" w:hanging="969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051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629" w:hanging="969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051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849" w:hanging="969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051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069" w:hanging="969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051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2289" w:hanging="969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051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509" w:hanging="969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051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729" w:hanging="969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051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949" w:hanging="969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051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