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136C" w:rsidRDefault="0083136C" w:rsidP="0083136C">
      <w:pPr>
        <w:autoSpaceDE w:val="0"/>
        <w:autoSpaceDN w:val="0"/>
        <w:bidi w:val="0"/>
        <w:adjustRightInd w:val="0"/>
        <w:spacing w:after="0" w:line="240" w:lineRule="auto"/>
        <w:rPr>
          <w:rFonts w:ascii="HelveticaNeueLTPro-Bd" w:hAnsi="HelveticaNeueLTPro-Bd" w:cs="HelveticaNeueLTPro-Bd"/>
          <w:sz w:val="32"/>
          <w:szCs w:val="32"/>
        </w:rPr>
      </w:pPr>
      <w:r>
        <w:rPr>
          <w:rFonts w:ascii="HelveticaNeueLTPro-Bd" w:hAnsi="HelveticaNeueLTPro-Bd" w:cs="HelveticaNeueLTPro-Bd"/>
          <w:sz w:val="32"/>
          <w:szCs w:val="32"/>
        </w:rPr>
        <w:t>Clinical significance of serum miR-21,</w:t>
      </w:r>
      <w:r w:rsidRPr="0083136C">
        <w:rPr>
          <w:rFonts w:ascii="HelveticaNeueLTPro-Bd" w:hAnsi="HelveticaNeueLTPro-Bd" w:cs="HelveticaNeueLTPro-Bd"/>
          <w:sz w:val="32"/>
          <w:szCs w:val="32"/>
        </w:rPr>
        <w:t xml:space="preserve"> </w:t>
      </w:r>
      <w:r>
        <w:rPr>
          <w:rFonts w:ascii="HelveticaNeueLTPro-Bd" w:hAnsi="HelveticaNeueLTPro-Bd" w:cs="HelveticaNeueLTPro-Bd"/>
          <w:sz w:val="32"/>
          <w:szCs w:val="32"/>
        </w:rPr>
        <w:t xml:space="preserve">CA153 and CEA in breast cancer </w:t>
      </w:r>
    </w:p>
    <w:p w:rsidR="0083136C" w:rsidRDefault="0083136C" w:rsidP="0083136C">
      <w:pPr>
        <w:autoSpaceDE w:val="0"/>
        <w:autoSpaceDN w:val="0"/>
        <w:bidi w:val="0"/>
        <w:adjustRightInd w:val="0"/>
        <w:spacing w:after="0" w:line="240" w:lineRule="auto"/>
        <w:rPr>
          <w:b/>
          <w:bCs/>
          <w:sz w:val="24"/>
          <w:szCs w:val="24"/>
        </w:rPr>
      </w:pPr>
    </w:p>
    <w:p w:rsidR="004B6481" w:rsidRDefault="004B6481" w:rsidP="0083136C">
      <w:pPr>
        <w:bidi w:val="0"/>
        <w:rPr>
          <w:b/>
          <w:bCs/>
          <w:sz w:val="24"/>
          <w:szCs w:val="24"/>
        </w:rPr>
      </w:pPr>
      <w:r>
        <w:rPr>
          <w:b/>
          <w:bCs/>
          <w:sz w:val="24"/>
          <w:szCs w:val="24"/>
        </w:rPr>
        <w:t xml:space="preserve">Abstract: </w:t>
      </w:r>
    </w:p>
    <w:p w:rsidR="00E8150F" w:rsidRPr="001A210E" w:rsidRDefault="00DD0670" w:rsidP="004B6481">
      <w:pPr>
        <w:bidi w:val="0"/>
        <w:rPr>
          <w:i/>
          <w:iCs/>
          <w:sz w:val="24"/>
          <w:szCs w:val="24"/>
        </w:rPr>
      </w:pPr>
      <w:r w:rsidRPr="001A210E">
        <w:rPr>
          <w:b/>
          <w:bCs/>
          <w:i/>
          <w:iCs/>
          <w:sz w:val="24"/>
          <w:szCs w:val="24"/>
        </w:rPr>
        <w:t>Objective:</w:t>
      </w:r>
      <w:r w:rsidRPr="001A210E">
        <w:rPr>
          <w:i/>
          <w:iCs/>
          <w:sz w:val="24"/>
          <w:szCs w:val="24"/>
        </w:rPr>
        <w:t xml:space="preserve"> one</w:t>
      </w:r>
      <w:r w:rsidR="002B540F" w:rsidRPr="001A210E">
        <w:rPr>
          <w:i/>
          <w:iCs/>
          <w:sz w:val="24"/>
          <w:szCs w:val="24"/>
        </w:rPr>
        <w:t xml:space="preserve"> of</w:t>
      </w:r>
      <w:r w:rsidRPr="001A210E">
        <w:rPr>
          <w:i/>
          <w:iCs/>
          <w:sz w:val="24"/>
          <w:szCs w:val="24"/>
        </w:rPr>
        <w:t xml:space="preserve"> the essential regulators of carcinogenesis is </w:t>
      </w:r>
      <w:r w:rsidRPr="001A210E">
        <w:rPr>
          <w:rFonts w:ascii="JansonTextLT-Roman" w:hAnsi="JansonTextLT-Roman" w:cs="JansonTextLT-Roman"/>
          <w:i/>
          <w:iCs/>
          <w:sz w:val="24"/>
          <w:szCs w:val="24"/>
        </w:rPr>
        <w:t xml:space="preserve">MicroRNA-21 (miR-21). </w:t>
      </w:r>
      <w:r w:rsidRPr="001A210E">
        <w:rPr>
          <w:i/>
          <w:iCs/>
          <w:sz w:val="24"/>
          <w:szCs w:val="24"/>
        </w:rPr>
        <w:t xml:space="preserve">Yet little light </w:t>
      </w:r>
      <w:r w:rsidR="000427F3" w:rsidRPr="001A210E">
        <w:rPr>
          <w:i/>
          <w:iCs/>
          <w:sz w:val="24"/>
          <w:szCs w:val="24"/>
        </w:rPr>
        <w:t>h</w:t>
      </w:r>
      <w:r w:rsidRPr="001A210E">
        <w:rPr>
          <w:i/>
          <w:iCs/>
          <w:sz w:val="24"/>
          <w:szCs w:val="24"/>
        </w:rPr>
        <w:t>as been shed on its effectiveness as a tumor marker compared to the conventional ones. Comparing the</w:t>
      </w:r>
      <w:r w:rsidR="004D2384" w:rsidRPr="001A210E">
        <w:rPr>
          <w:i/>
          <w:iCs/>
          <w:sz w:val="24"/>
          <w:szCs w:val="24"/>
        </w:rPr>
        <w:t xml:space="preserve"> diagnostic value of </w:t>
      </w:r>
      <w:r w:rsidR="00452CC1" w:rsidRPr="001A210E">
        <w:rPr>
          <w:i/>
          <w:iCs/>
          <w:sz w:val="24"/>
          <w:szCs w:val="24"/>
        </w:rPr>
        <w:t>established</w:t>
      </w:r>
      <w:r w:rsidR="002B540F" w:rsidRPr="001A210E">
        <w:rPr>
          <w:i/>
          <w:iCs/>
          <w:sz w:val="24"/>
          <w:szCs w:val="24"/>
        </w:rPr>
        <w:t xml:space="preserve"> tumor markers in b</w:t>
      </w:r>
      <w:r w:rsidRPr="001A210E">
        <w:rPr>
          <w:i/>
          <w:iCs/>
          <w:sz w:val="24"/>
          <w:szCs w:val="24"/>
        </w:rPr>
        <w:t xml:space="preserve">reast cancer (BC) such as </w:t>
      </w:r>
      <w:r w:rsidRPr="001A210E">
        <w:rPr>
          <w:rFonts w:ascii="JansonTextLT-Roman" w:hAnsi="JansonTextLT-Roman" w:cs="JansonTextLT-Roman"/>
          <w:i/>
          <w:iCs/>
          <w:sz w:val="24"/>
          <w:szCs w:val="24"/>
        </w:rPr>
        <w:t xml:space="preserve">carcinoembryonic antigen (CEA) and CA153 </w:t>
      </w:r>
      <w:r w:rsidRPr="001A210E">
        <w:rPr>
          <w:i/>
          <w:iCs/>
          <w:sz w:val="24"/>
          <w:szCs w:val="24"/>
        </w:rPr>
        <w:t xml:space="preserve">with circulating level of miR-21 is the aim of </w:t>
      </w:r>
      <w:r w:rsidR="002B540F" w:rsidRPr="001A210E">
        <w:rPr>
          <w:i/>
          <w:iCs/>
          <w:sz w:val="24"/>
          <w:szCs w:val="24"/>
        </w:rPr>
        <w:t>this</w:t>
      </w:r>
      <w:r w:rsidRPr="001A210E">
        <w:rPr>
          <w:i/>
          <w:iCs/>
          <w:sz w:val="24"/>
          <w:szCs w:val="24"/>
        </w:rPr>
        <w:t xml:space="preserve"> study.</w:t>
      </w:r>
    </w:p>
    <w:p w:rsidR="00DD0670" w:rsidRPr="001A210E" w:rsidRDefault="00DD0670" w:rsidP="000427F3">
      <w:pPr>
        <w:autoSpaceDE w:val="0"/>
        <w:autoSpaceDN w:val="0"/>
        <w:bidi w:val="0"/>
        <w:adjustRightInd w:val="0"/>
        <w:spacing w:after="0" w:line="240" w:lineRule="auto"/>
        <w:rPr>
          <w:i/>
          <w:iCs/>
          <w:sz w:val="24"/>
          <w:szCs w:val="24"/>
        </w:rPr>
      </w:pPr>
      <w:r w:rsidRPr="001A210E">
        <w:rPr>
          <w:b/>
          <w:bCs/>
          <w:i/>
          <w:iCs/>
          <w:sz w:val="24"/>
          <w:szCs w:val="24"/>
        </w:rPr>
        <w:t>Methods:</w:t>
      </w:r>
      <w:r w:rsidRPr="001A210E">
        <w:rPr>
          <w:i/>
          <w:iCs/>
          <w:sz w:val="24"/>
          <w:szCs w:val="24"/>
        </w:rPr>
        <w:t xml:space="preserve"> </w:t>
      </w:r>
      <w:r w:rsidR="00C700D0" w:rsidRPr="001A210E">
        <w:rPr>
          <w:i/>
          <w:iCs/>
          <w:sz w:val="24"/>
          <w:szCs w:val="24"/>
        </w:rPr>
        <w:t>The study included 89 BC patients. Amplification of the circulating levels of miR-21 and miR-16 done using real-time PC</w:t>
      </w:r>
      <w:r w:rsidR="002B540F" w:rsidRPr="001A210E">
        <w:rPr>
          <w:i/>
          <w:iCs/>
          <w:sz w:val="24"/>
          <w:szCs w:val="24"/>
        </w:rPr>
        <w:t>R qualitative detection</w:t>
      </w:r>
      <w:r w:rsidR="00C700D0" w:rsidRPr="001A210E">
        <w:rPr>
          <w:i/>
          <w:iCs/>
          <w:sz w:val="24"/>
          <w:szCs w:val="24"/>
        </w:rPr>
        <w:t xml:space="preserve">, while </w:t>
      </w:r>
      <w:r w:rsidR="00C700D0" w:rsidRPr="001A210E">
        <w:rPr>
          <w:rFonts w:ascii="JansonTextLT-Roman" w:hAnsi="JansonTextLT-Roman" w:cs="JansonTextLT-Roman"/>
          <w:i/>
          <w:iCs/>
          <w:sz w:val="24"/>
          <w:szCs w:val="24"/>
        </w:rPr>
        <w:t>electrochemiluminescence assays</w:t>
      </w:r>
      <w:r w:rsidR="00C700D0" w:rsidRPr="001A210E">
        <w:rPr>
          <w:i/>
          <w:iCs/>
          <w:sz w:val="24"/>
          <w:szCs w:val="24"/>
        </w:rPr>
        <w:t xml:space="preserve"> was used to detect circulating </w:t>
      </w:r>
      <w:r w:rsidR="002367B5" w:rsidRPr="001A210E">
        <w:rPr>
          <w:i/>
          <w:iCs/>
          <w:sz w:val="24"/>
          <w:szCs w:val="24"/>
        </w:rPr>
        <w:t>levels of CEA and CA153. The diagnostic sensitivity for BC was compared between the three.</w:t>
      </w:r>
    </w:p>
    <w:p w:rsidR="002367B5" w:rsidRPr="001A210E" w:rsidRDefault="002367B5" w:rsidP="002367B5">
      <w:pPr>
        <w:autoSpaceDE w:val="0"/>
        <w:autoSpaceDN w:val="0"/>
        <w:bidi w:val="0"/>
        <w:adjustRightInd w:val="0"/>
        <w:spacing w:after="0" w:line="240" w:lineRule="auto"/>
        <w:rPr>
          <w:i/>
          <w:iCs/>
          <w:sz w:val="24"/>
          <w:szCs w:val="24"/>
        </w:rPr>
      </w:pPr>
    </w:p>
    <w:p w:rsidR="002367B5" w:rsidRPr="001A210E" w:rsidRDefault="004D2384" w:rsidP="000427F3">
      <w:pPr>
        <w:autoSpaceDE w:val="0"/>
        <w:autoSpaceDN w:val="0"/>
        <w:bidi w:val="0"/>
        <w:adjustRightInd w:val="0"/>
        <w:spacing w:after="0" w:line="240" w:lineRule="auto"/>
        <w:rPr>
          <w:rFonts w:ascii="JansonTextLT-Roman" w:hAnsi="JansonTextLT-Roman" w:cs="JansonTextLT-Roman"/>
          <w:i/>
          <w:iCs/>
          <w:sz w:val="24"/>
          <w:szCs w:val="24"/>
        </w:rPr>
      </w:pPr>
      <w:r w:rsidRPr="001A210E">
        <w:rPr>
          <w:b/>
          <w:bCs/>
          <w:i/>
          <w:iCs/>
          <w:sz w:val="24"/>
          <w:szCs w:val="24"/>
        </w:rPr>
        <w:t>Results:</w:t>
      </w:r>
      <w:r w:rsidRPr="001A210E">
        <w:rPr>
          <w:i/>
          <w:iCs/>
          <w:sz w:val="24"/>
          <w:szCs w:val="24"/>
        </w:rPr>
        <w:t xml:space="preserve"> the serum miR-21 levels </w:t>
      </w:r>
      <w:r w:rsidR="000427F3" w:rsidRPr="001A210E">
        <w:rPr>
          <w:i/>
          <w:iCs/>
          <w:sz w:val="24"/>
          <w:szCs w:val="24"/>
        </w:rPr>
        <w:t>were high significantly</w:t>
      </w:r>
      <w:r w:rsidRPr="001A210E">
        <w:rPr>
          <w:i/>
          <w:iCs/>
          <w:sz w:val="24"/>
          <w:szCs w:val="24"/>
        </w:rPr>
        <w:t xml:space="preserve"> BC patients, as the latter had much higher levels </w:t>
      </w:r>
      <w:r w:rsidRPr="001A210E">
        <w:rPr>
          <w:rFonts w:ascii="JansonTextLT-Roman" w:hAnsi="JansonTextLT-Roman" w:cs="JansonTextLT-Roman"/>
          <w:i/>
          <w:iCs/>
          <w:sz w:val="24"/>
          <w:szCs w:val="24"/>
        </w:rPr>
        <w:t xml:space="preserve">(P&lt;0.001). </w:t>
      </w:r>
      <w:r w:rsidR="005A1918" w:rsidRPr="001A210E">
        <w:rPr>
          <w:rFonts w:ascii="JansonTextLT-Roman" w:hAnsi="JansonTextLT-Roman" w:cs="JansonTextLT-Roman"/>
          <w:i/>
          <w:iCs/>
          <w:sz w:val="24"/>
          <w:szCs w:val="24"/>
        </w:rPr>
        <w:t>the CA153 and CEA sensitivities were 15.73%</w:t>
      </w:r>
      <w:r w:rsidR="005A1918" w:rsidRPr="001A210E">
        <w:rPr>
          <w:i/>
          <w:iCs/>
          <w:sz w:val="24"/>
          <w:szCs w:val="24"/>
        </w:rPr>
        <w:t xml:space="preserve"> </w:t>
      </w:r>
      <w:r w:rsidR="005A1918" w:rsidRPr="001A210E">
        <w:rPr>
          <w:rFonts w:ascii="JansonTextLT-Roman" w:hAnsi="JansonTextLT-Roman" w:cs="JansonTextLT-Roman"/>
          <w:i/>
          <w:iCs/>
          <w:sz w:val="24"/>
          <w:szCs w:val="24"/>
        </w:rPr>
        <w:t xml:space="preserve"> and  22.47%  respectively, while miR-21 Sensitivity and specificity were 87.6% and 87.3%.</w:t>
      </w:r>
    </w:p>
    <w:p w:rsidR="005A1918" w:rsidRPr="001A210E" w:rsidRDefault="005A1918" w:rsidP="005A1918">
      <w:pPr>
        <w:autoSpaceDE w:val="0"/>
        <w:autoSpaceDN w:val="0"/>
        <w:bidi w:val="0"/>
        <w:adjustRightInd w:val="0"/>
        <w:spacing w:after="0" w:line="240" w:lineRule="auto"/>
        <w:rPr>
          <w:rFonts w:ascii="JansonTextLT-Roman" w:hAnsi="JansonTextLT-Roman" w:cs="JansonTextLT-Roman"/>
          <w:i/>
          <w:iCs/>
          <w:sz w:val="24"/>
          <w:szCs w:val="24"/>
        </w:rPr>
      </w:pPr>
    </w:p>
    <w:p w:rsidR="005A1918" w:rsidRPr="001A210E" w:rsidRDefault="005A1918" w:rsidP="005A1918">
      <w:pPr>
        <w:autoSpaceDE w:val="0"/>
        <w:autoSpaceDN w:val="0"/>
        <w:bidi w:val="0"/>
        <w:adjustRightInd w:val="0"/>
        <w:spacing w:after="0" w:line="240" w:lineRule="auto"/>
        <w:rPr>
          <w:rFonts w:ascii="JansonTextLT-Roman" w:hAnsi="JansonTextLT-Roman" w:cs="JansonTextLT-Roman"/>
          <w:i/>
          <w:iCs/>
          <w:sz w:val="24"/>
          <w:szCs w:val="24"/>
        </w:rPr>
      </w:pPr>
      <w:r w:rsidRPr="001A210E">
        <w:rPr>
          <w:rFonts w:ascii="JansonTextLT-Roman" w:hAnsi="JansonTextLT-Roman" w:cs="JansonTextLT-Roman"/>
          <w:b/>
          <w:bCs/>
          <w:i/>
          <w:iCs/>
          <w:sz w:val="24"/>
          <w:szCs w:val="24"/>
        </w:rPr>
        <w:t>Conclusion:</w:t>
      </w:r>
      <w:r w:rsidRPr="001A210E">
        <w:rPr>
          <w:rFonts w:ascii="JansonTextLT-Roman" w:hAnsi="JansonTextLT-Roman" w:cs="JansonTextLT-Roman"/>
          <w:i/>
          <w:iCs/>
          <w:sz w:val="24"/>
          <w:szCs w:val="24"/>
        </w:rPr>
        <w:t xml:space="preserve"> </w:t>
      </w:r>
      <w:r w:rsidR="00FE7236" w:rsidRPr="001A210E">
        <w:rPr>
          <w:rFonts w:ascii="JansonTextLT-Roman" w:hAnsi="JansonTextLT-Roman" w:cs="JansonTextLT-Roman"/>
          <w:i/>
          <w:iCs/>
          <w:sz w:val="24"/>
          <w:szCs w:val="24"/>
        </w:rPr>
        <w:t xml:space="preserve">in BC patients miR-21 exhibits far higher sensitivity for diagnoses than both CEA and CA153. Thus especially in the early stages of BC, miR-21 can become a potential indicator for diagnosis, albeit the clinical stage, PR and ER statuses were not correlated in this study.  </w:t>
      </w:r>
    </w:p>
    <w:p w:rsidR="00FE7236" w:rsidRPr="001A210E" w:rsidRDefault="00FE7236" w:rsidP="00FE7236">
      <w:pPr>
        <w:autoSpaceDE w:val="0"/>
        <w:autoSpaceDN w:val="0"/>
        <w:bidi w:val="0"/>
        <w:adjustRightInd w:val="0"/>
        <w:spacing w:after="0" w:line="240" w:lineRule="auto"/>
        <w:rPr>
          <w:rFonts w:ascii="JansonTextLT-Roman" w:hAnsi="JansonTextLT-Roman" w:cs="JansonTextLT-Roman"/>
          <w:i/>
          <w:iCs/>
          <w:sz w:val="24"/>
          <w:szCs w:val="24"/>
        </w:rPr>
      </w:pPr>
    </w:p>
    <w:p w:rsidR="00FE7236" w:rsidRPr="000A0339" w:rsidRDefault="00FE7236" w:rsidP="00FE7236">
      <w:pPr>
        <w:autoSpaceDE w:val="0"/>
        <w:autoSpaceDN w:val="0"/>
        <w:bidi w:val="0"/>
        <w:adjustRightInd w:val="0"/>
        <w:spacing w:after="0" w:line="240" w:lineRule="auto"/>
        <w:rPr>
          <w:rFonts w:ascii="JansonTextLT-Roman" w:hAnsi="JansonTextLT-Roman" w:cs="JansonTextLT-Roman"/>
          <w:sz w:val="24"/>
          <w:szCs w:val="24"/>
        </w:rPr>
      </w:pPr>
      <w:r w:rsidRPr="004B6481">
        <w:rPr>
          <w:rFonts w:ascii="JansonTextLT-Roman" w:hAnsi="JansonTextLT-Roman" w:cs="JansonTextLT-Roman"/>
          <w:b/>
          <w:bCs/>
          <w:sz w:val="24"/>
          <w:szCs w:val="24"/>
        </w:rPr>
        <w:t>Keywords:</w:t>
      </w:r>
      <w:r w:rsidRPr="000A0339">
        <w:rPr>
          <w:rFonts w:ascii="JansonTextLT-Roman" w:hAnsi="JansonTextLT-Roman" w:cs="JansonTextLT-Roman"/>
          <w:sz w:val="24"/>
          <w:szCs w:val="24"/>
        </w:rPr>
        <w:t xml:space="preserve"> </w:t>
      </w:r>
      <w:bookmarkStart w:id="0" w:name="_GoBack"/>
      <w:r w:rsidRPr="000A0339">
        <w:rPr>
          <w:rFonts w:ascii="JansonTextLT-Roman" w:hAnsi="JansonTextLT-Roman" w:cs="JansonTextLT-Roman"/>
          <w:sz w:val="24"/>
          <w:szCs w:val="24"/>
        </w:rPr>
        <w:t>real-time polymerase chain reaction (real-time PCR); breast cancer (BC); MicroRNA-21 (miR-21).</w:t>
      </w:r>
    </w:p>
    <w:p w:rsidR="00FE7236" w:rsidRPr="000A0339" w:rsidRDefault="00FE7236" w:rsidP="00FE7236">
      <w:pPr>
        <w:autoSpaceDE w:val="0"/>
        <w:autoSpaceDN w:val="0"/>
        <w:bidi w:val="0"/>
        <w:adjustRightInd w:val="0"/>
        <w:spacing w:after="0" w:line="240" w:lineRule="auto"/>
        <w:rPr>
          <w:rFonts w:ascii="JansonTextLT-Roman" w:hAnsi="JansonTextLT-Roman" w:cs="JansonTextLT-Roman"/>
          <w:sz w:val="24"/>
          <w:szCs w:val="24"/>
        </w:rPr>
      </w:pPr>
    </w:p>
    <w:bookmarkEnd w:id="0"/>
    <w:p w:rsidR="002B540F" w:rsidRDefault="002B540F">
      <w:pPr>
        <w:bidi w:val="0"/>
        <w:rPr>
          <w:rFonts w:ascii="JansonTextLT-Roman" w:hAnsi="JansonTextLT-Roman" w:cs="JansonTextLT-Roman"/>
          <w:sz w:val="24"/>
          <w:szCs w:val="24"/>
        </w:rPr>
      </w:pPr>
      <w:r>
        <w:rPr>
          <w:rFonts w:ascii="JansonTextLT-Roman" w:hAnsi="JansonTextLT-Roman" w:cs="JansonTextLT-Roman"/>
          <w:sz w:val="24"/>
          <w:szCs w:val="24"/>
        </w:rPr>
        <w:br w:type="page"/>
      </w:r>
    </w:p>
    <w:p w:rsidR="00FE7236" w:rsidRPr="004B6481" w:rsidRDefault="00FE7236" w:rsidP="00FE7236">
      <w:pPr>
        <w:autoSpaceDE w:val="0"/>
        <w:autoSpaceDN w:val="0"/>
        <w:bidi w:val="0"/>
        <w:adjustRightInd w:val="0"/>
        <w:spacing w:after="0" w:line="240" w:lineRule="auto"/>
        <w:rPr>
          <w:rFonts w:ascii="JansonTextLT-Roman" w:hAnsi="JansonTextLT-Roman" w:cs="JansonTextLT-Roman"/>
          <w:b/>
          <w:bCs/>
          <w:sz w:val="24"/>
          <w:szCs w:val="24"/>
        </w:rPr>
      </w:pPr>
      <w:r w:rsidRPr="004B6481">
        <w:rPr>
          <w:rFonts w:ascii="JansonTextLT-Roman" w:hAnsi="JansonTextLT-Roman" w:cs="JansonTextLT-Roman"/>
          <w:b/>
          <w:bCs/>
          <w:sz w:val="24"/>
          <w:szCs w:val="24"/>
        </w:rPr>
        <w:lastRenderedPageBreak/>
        <w:t xml:space="preserve">Introduction: </w:t>
      </w:r>
    </w:p>
    <w:p w:rsidR="00866031" w:rsidRPr="000A0339" w:rsidRDefault="00452CC1" w:rsidP="00452CC1">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Cancer is one of the illnesses where the stage at which the disease is diagnosed plays a crucial role patients survival and quality of life</w:t>
      </w:r>
      <w:r w:rsidR="00C96D5B">
        <w:rPr>
          <w:rFonts w:ascii="JansonTextLT-Roman" w:hAnsi="JansonTextLT-Roman" w:cs="JansonTextLT-Roman"/>
          <w:sz w:val="24"/>
          <w:szCs w:val="24"/>
        </w:rPr>
        <w:t xml:space="preserve"> [1]</w:t>
      </w:r>
      <w:r w:rsidRPr="000A0339">
        <w:rPr>
          <w:rFonts w:ascii="JansonTextLT-Roman" w:hAnsi="JansonTextLT-Roman" w:cs="JansonTextLT-Roman"/>
          <w:sz w:val="24"/>
          <w:szCs w:val="24"/>
        </w:rPr>
        <w:t xml:space="preserve">. A diagnostic indicator that can detect cancer in early stages </w:t>
      </w:r>
      <w:r w:rsidR="00866031" w:rsidRPr="000A0339">
        <w:rPr>
          <w:rFonts w:ascii="JansonTextLT-Roman" w:hAnsi="JansonTextLT-Roman" w:cs="JansonTextLT-Roman"/>
          <w:sz w:val="24"/>
          <w:szCs w:val="24"/>
        </w:rPr>
        <w:t>is of great significance, especially for breast cancer (BC), as it is the most common cancer in woman</w:t>
      </w:r>
      <w:r w:rsidR="00C96D5B">
        <w:rPr>
          <w:rFonts w:ascii="JansonTextLT-Roman" w:hAnsi="JansonTextLT-Roman" w:cs="JansonTextLT-Roman"/>
          <w:sz w:val="24"/>
          <w:szCs w:val="24"/>
        </w:rPr>
        <w:t xml:space="preserve"> [2]</w:t>
      </w:r>
      <w:r w:rsidR="00866031" w:rsidRPr="000A0339">
        <w:rPr>
          <w:rFonts w:ascii="JansonTextLT-Roman" w:hAnsi="JansonTextLT-Roman" w:cs="JansonTextLT-Roman"/>
          <w:sz w:val="24"/>
          <w:szCs w:val="24"/>
        </w:rPr>
        <w:t>. One field of interested is that of tumor markers, due to their noninvasive, rapid and simple nature</w:t>
      </w:r>
      <w:r w:rsidR="00C96D5B">
        <w:rPr>
          <w:rFonts w:ascii="JansonTextLT-Roman" w:hAnsi="JansonTextLT-Roman" w:cs="JansonTextLT-Roman"/>
          <w:sz w:val="24"/>
          <w:szCs w:val="24"/>
        </w:rPr>
        <w:t xml:space="preserve"> [3]</w:t>
      </w:r>
      <w:r w:rsidR="00866031" w:rsidRPr="000A0339">
        <w:rPr>
          <w:rFonts w:ascii="JansonTextLT-Roman" w:hAnsi="JansonTextLT-Roman" w:cs="JansonTextLT-Roman"/>
          <w:sz w:val="24"/>
          <w:szCs w:val="24"/>
        </w:rPr>
        <w:t>.</w:t>
      </w:r>
    </w:p>
    <w:p w:rsidR="00866031" w:rsidRPr="000A0339" w:rsidRDefault="00866031" w:rsidP="00866031">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Despite their low sensitivity and specificity, the carcinoembryogenic antigen (CEA) and cancer antigen 153 (CA153) are the commonest markers used. MicroRNAs are found to have close ties with development and formation of tumors and are involved in regulating many cellular processes. They are a class of noncoding RNAs composed of 19-25 nucleotides</w:t>
      </w:r>
      <w:r w:rsidR="00C96D5B">
        <w:rPr>
          <w:rFonts w:ascii="JansonTextLT-Roman" w:hAnsi="JansonTextLT-Roman" w:cs="JansonTextLT-Roman"/>
          <w:sz w:val="24"/>
          <w:szCs w:val="24"/>
        </w:rPr>
        <w:t xml:space="preserve"> [4]</w:t>
      </w:r>
      <w:r w:rsidRPr="000A0339">
        <w:rPr>
          <w:rFonts w:ascii="JansonTextLT-Roman" w:hAnsi="JansonTextLT-Roman" w:cs="JansonTextLT-Roman"/>
          <w:sz w:val="24"/>
          <w:szCs w:val="24"/>
        </w:rPr>
        <w:t>.</w:t>
      </w:r>
    </w:p>
    <w:p w:rsidR="00FE7236" w:rsidRPr="000A0339" w:rsidRDefault="00EE13E1" w:rsidP="00635A3E">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miR-21 is involved in oncogenic process and has been demonstrated to be an essential regulator, and due to its involvement in tumor formation, its level is raised in majority of human tumors. The overexpression of miR-21 in BC tissue</w:t>
      </w:r>
      <w:r w:rsidR="00C96D5B">
        <w:rPr>
          <w:rFonts w:ascii="JansonTextLT-Roman" w:hAnsi="JansonTextLT-Roman" w:cs="JansonTextLT-Roman"/>
          <w:sz w:val="24"/>
          <w:szCs w:val="24"/>
        </w:rPr>
        <w:t xml:space="preserve"> was noticed by Iorio et al. [1]</w:t>
      </w:r>
      <w:r w:rsidRPr="000A0339">
        <w:rPr>
          <w:rFonts w:ascii="JansonTextLT-Roman" w:hAnsi="JansonTextLT-Roman" w:cs="JansonTextLT-Roman"/>
          <w:sz w:val="24"/>
          <w:szCs w:val="24"/>
        </w:rPr>
        <w:t xml:space="preserve"> and suggested it can be an effective marker; however getting tissue is an invasive procedure.</w:t>
      </w:r>
      <w:r w:rsidR="000C5F46" w:rsidRPr="000A0339">
        <w:rPr>
          <w:rFonts w:ascii="JansonTextLT-Roman" w:hAnsi="JansonTextLT-Roman" w:cs="JansonTextLT-Roman"/>
          <w:sz w:val="24"/>
          <w:szCs w:val="24"/>
        </w:rPr>
        <w:t xml:space="preserve"> Easy monitoring, little invasiveness and simple collection is an obvious advantage of serum sampling</w:t>
      </w:r>
      <w:r w:rsidR="00C96D5B">
        <w:rPr>
          <w:rFonts w:ascii="JansonTextLT-Roman" w:hAnsi="JansonTextLT-Roman" w:cs="JansonTextLT-Roman"/>
          <w:sz w:val="24"/>
          <w:szCs w:val="24"/>
        </w:rPr>
        <w:t xml:space="preserve"> [5,6]</w:t>
      </w:r>
      <w:r w:rsidR="000C5F46" w:rsidRPr="000A0339">
        <w:rPr>
          <w:rFonts w:ascii="JansonTextLT-Roman" w:hAnsi="JansonTextLT-Roman" w:cs="JansonTextLT-Roman"/>
          <w:sz w:val="24"/>
          <w:szCs w:val="24"/>
        </w:rPr>
        <w:t>.</w:t>
      </w:r>
      <w:r w:rsidR="00452CC1" w:rsidRPr="000A0339">
        <w:rPr>
          <w:rFonts w:ascii="JansonTextLT-Roman" w:hAnsi="JansonTextLT-Roman" w:cs="JansonTextLT-Roman"/>
          <w:sz w:val="24"/>
          <w:szCs w:val="24"/>
        </w:rPr>
        <w:t xml:space="preserve"> </w:t>
      </w:r>
      <w:r w:rsidR="000C5F46" w:rsidRPr="000A0339">
        <w:rPr>
          <w:rFonts w:ascii="JansonTextLT-Roman" w:hAnsi="JansonTextLT-Roman" w:cs="JansonTextLT-Roman"/>
          <w:sz w:val="24"/>
          <w:szCs w:val="24"/>
        </w:rPr>
        <w:t>miR-21 expression was evaluated in 89 BC patients using SYBR-Green as a base and miR-16 as reference for the stem-loop real-time reverse transcription-polymerase chain reaction (RT- PCR)</w:t>
      </w:r>
      <w:r w:rsidR="00C96D5B">
        <w:rPr>
          <w:rFonts w:ascii="JansonTextLT-Roman" w:hAnsi="JansonTextLT-Roman" w:cs="JansonTextLT-Roman"/>
          <w:sz w:val="24"/>
          <w:szCs w:val="24"/>
        </w:rPr>
        <w:t xml:space="preserve"> [7]</w:t>
      </w:r>
      <w:r w:rsidR="000C5F46" w:rsidRPr="000A0339">
        <w:rPr>
          <w:rFonts w:ascii="JansonTextLT-Roman" w:hAnsi="JansonTextLT-Roman" w:cs="JansonTextLT-Roman"/>
          <w:sz w:val="24"/>
          <w:szCs w:val="24"/>
        </w:rPr>
        <w:t xml:space="preserve">. Considering the hormone receptor status and disease stage, miR-21 expression levels were compared, and then its sensitivity for diagnosing BC was pitted against CEA and CA153. </w:t>
      </w:r>
    </w:p>
    <w:p w:rsidR="000A0339" w:rsidRDefault="000A0339" w:rsidP="00D85712">
      <w:pPr>
        <w:autoSpaceDE w:val="0"/>
        <w:autoSpaceDN w:val="0"/>
        <w:bidi w:val="0"/>
        <w:adjustRightInd w:val="0"/>
        <w:spacing w:after="0" w:line="240" w:lineRule="auto"/>
        <w:rPr>
          <w:rFonts w:ascii="JansonTextLT-Roman" w:hAnsi="JansonTextLT-Roman" w:cs="JansonTextLT-Roman"/>
          <w:sz w:val="24"/>
          <w:szCs w:val="24"/>
        </w:rPr>
      </w:pPr>
    </w:p>
    <w:p w:rsidR="000A0339" w:rsidRDefault="000A0339" w:rsidP="000A0339">
      <w:pPr>
        <w:autoSpaceDE w:val="0"/>
        <w:autoSpaceDN w:val="0"/>
        <w:bidi w:val="0"/>
        <w:adjustRightInd w:val="0"/>
        <w:spacing w:after="0" w:line="240" w:lineRule="auto"/>
        <w:rPr>
          <w:rFonts w:ascii="JansonTextLT-Roman" w:hAnsi="JansonTextLT-Roman" w:cs="JansonTextLT-Roman"/>
          <w:sz w:val="24"/>
          <w:szCs w:val="24"/>
        </w:rPr>
      </w:pPr>
    </w:p>
    <w:p w:rsidR="00D85712" w:rsidRPr="004B6481" w:rsidRDefault="00D85712" w:rsidP="000A0339">
      <w:pPr>
        <w:autoSpaceDE w:val="0"/>
        <w:autoSpaceDN w:val="0"/>
        <w:bidi w:val="0"/>
        <w:adjustRightInd w:val="0"/>
        <w:spacing w:after="0" w:line="240" w:lineRule="auto"/>
        <w:rPr>
          <w:rFonts w:ascii="JansonTextLT-Roman" w:hAnsi="JansonTextLT-Roman" w:cs="JansonTextLT-Roman"/>
          <w:b/>
          <w:bCs/>
          <w:sz w:val="24"/>
          <w:szCs w:val="24"/>
        </w:rPr>
      </w:pPr>
      <w:r w:rsidRPr="004B6481">
        <w:rPr>
          <w:rFonts w:ascii="JansonTextLT-Roman" w:hAnsi="JansonTextLT-Roman" w:cs="JansonTextLT-Roman"/>
          <w:b/>
          <w:bCs/>
          <w:sz w:val="24"/>
          <w:szCs w:val="24"/>
        </w:rPr>
        <w:t>Materials and methods</w:t>
      </w:r>
    </w:p>
    <w:p w:rsidR="00B961F8" w:rsidRPr="004B6481" w:rsidRDefault="002874D5" w:rsidP="00B961F8">
      <w:pPr>
        <w:autoSpaceDE w:val="0"/>
        <w:autoSpaceDN w:val="0"/>
        <w:bidi w:val="0"/>
        <w:adjustRightInd w:val="0"/>
        <w:spacing w:after="0" w:line="240" w:lineRule="auto"/>
        <w:rPr>
          <w:rFonts w:ascii="JansonTextLT-Roman" w:hAnsi="JansonTextLT-Roman" w:cs="JansonTextLT-Roman"/>
          <w:b/>
          <w:bCs/>
          <w:sz w:val="24"/>
          <w:szCs w:val="24"/>
        </w:rPr>
      </w:pPr>
      <w:r w:rsidRPr="004B6481">
        <w:rPr>
          <w:rFonts w:ascii="JansonTextLT-Roman" w:hAnsi="JansonTextLT-Roman" w:cs="JansonTextLT-Roman"/>
          <w:b/>
          <w:bCs/>
          <w:sz w:val="24"/>
          <w:szCs w:val="24"/>
        </w:rPr>
        <w:t>Subjects</w:t>
      </w:r>
    </w:p>
    <w:p w:rsidR="002874D5" w:rsidRPr="000A0339" w:rsidRDefault="002874D5" w:rsidP="00B836F1">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 xml:space="preserve">The study was performed in </w:t>
      </w:r>
      <w:r w:rsidR="00B836F1">
        <w:rPr>
          <w:rFonts w:ascii="JansonTextLT-Roman" w:hAnsi="JansonTextLT-Roman" w:cs="JansonTextLT-Roman"/>
          <w:sz w:val="24"/>
          <w:szCs w:val="24"/>
        </w:rPr>
        <w:t>Kurdistan</w:t>
      </w:r>
      <w:r w:rsidRPr="000A0339">
        <w:rPr>
          <w:rFonts w:ascii="JansonTextLT-Roman" w:hAnsi="JansonTextLT-Roman" w:cs="JansonTextLT-Roman"/>
          <w:sz w:val="24"/>
          <w:szCs w:val="24"/>
        </w:rPr>
        <w:t xml:space="preserve"> Hospital and approved by its Ethic committee. All patients agreed to a written informed consent. </w:t>
      </w:r>
      <w:r w:rsidR="00B836F1">
        <w:rPr>
          <w:rFonts w:ascii="JansonTextLT-Roman" w:hAnsi="JansonTextLT-Roman" w:cs="JansonTextLT-Roman"/>
          <w:sz w:val="24"/>
          <w:szCs w:val="24"/>
        </w:rPr>
        <w:t>The BC</w:t>
      </w:r>
      <w:r w:rsidRPr="000A0339">
        <w:rPr>
          <w:rFonts w:ascii="JansonTextLT-Roman" w:hAnsi="JansonTextLT-Roman" w:cs="JansonTextLT-Roman"/>
          <w:sz w:val="24"/>
          <w:szCs w:val="24"/>
        </w:rPr>
        <w:t xml:space="preserve"> women confirmed by medical examination were aged between 28 to 6</w:t>
      </w:r>
      <w:r w:rsidR="00603AAB">
        <w:rPr>
          <w:rFonts w:ascii="JansonTextLT-Roman" w:hAnsi="JansonTextLT-Roman" w:cs="JansonTextLT-Roman"/>
          <w:sz w:val="24"/>
          <w:szCs w:val="24"/>
        </w:rPr>
        <w:t>0</w:t>
      </w:r>
      <w:r w:rsidRPr="000A0339">
        <w:rPr>
          <w:rFonts w:ascii="JansonTextLT-Roman" w:hAnsi="JansonTextLT-Roman" w:cs="JansonTextLT-Roman"/>
          <w:sz w:val="24"/>
          <w:szCs w:val="24"/>
        </w:rPr>
        <w:t xml:space="preserve"> years, with 5</w:t>
      </w:r>
      <w:r w:rsidR="00603AAB">
        <w:rPr>
          <w:rFonts w:ascii="JansonTextLT-Roman" w:hAnsi="JansonTextLT-Roman" w:cs="JansonTextLT-Roman"/>
          <w:sz w:val="24"/>
          <w:szCs w:val="24"/>
        </w:rPr>
        <w:t>0</w:t>
      </w:r>
      <w:r w:rsidRPr="000A0339">
        <w:rPr>
          <w:rFonts w:ascii="JansonTextLT-Roman" w:hAnsi="JansonTextLT-Roman" w:cs="JansonTextLT-Roman"/>
          <w:sz w:val="24"/>
          <w:szCs w:val="24"/>
        </w:rPr>
        <w:t xml:space="preserve"> as a median age and blood samples were collected from Mar</w:t>
      </w:r>
      <w:r w:rsidR="00B836F1">
        <w:rPr>
          <w:rFonts w:ascii="JansonTextLT-Roman" w:hAnsi="JansonTextLT-Roman" w:cs="JansonTextLT-Roman"/>
          <w:sz w:val="24"/>
          <w:szCs w:val="24"/>
        </w:rPr>
        <w:t>ch 2011 to April 2011. A</w:t>
      </w:r>
      <w:r w:rsidR="009A5263" w:rsidRPr="000A0339">
        <w:rPr>
          <w:rFonts w:ascii="JansonTextLT-Roman" w:hAnsi="JansonTextLT-Roman" w:cs="JansonTextLT-Roman"/>
          <w:sz w:val="24"/>
          <w:szCs w:val="24"/>
        </w:rPr>
        <w:t xml:space="preserve">ll the patients had a confirmed diagnosis for primary BC by histology and </w:t>
      </w:r>
      <w:r w:rsidR="00157634" w:rsidRPr="000A0339">
        <w:rPr>
          <w:rFonts w:ascii="JansonTextLT-Roman" w:hAnsi="JansonTextLT-Roman" w:cs="JansonTextLT-Roman"/>
          <w:sz w:val="24"/>
          <w:szCs w:val="24"/>
        </w:rPr>
        <w:t>were undergoing</w:t>
      </w:r>
      <w:r w:rsidR="009A5263" w:rsidRPr="000A0339">
        <w:rPr>
          <w:rFonts w:ascii="JansonTextLT-Roman" w:hAnsi="JansonTextLT-Roman" w:cs="JansonTextLT-Roman"/>
          <w:sz w:val="24"/>
          <w:szCs w:val="24"/>
        </w:rPr>
        <w:t xml:space="preserve"> therapy at the time</w:t>
      </w:r>
      <w:r w:rsidR="00603AAB">
        <w:rPr>
          <w:rFonts w:ascii="JansonTextLT-Roman" w:hAnsi="JansonTextLT-Roman" w:cs="JansonTextLT-Roman"/>
          <w:sz w:val="24"/>
          <w:szCs w:val="24"/>
        </w:rPr>
        <w:t xml:space="preserve"> of study, aged between 29 and 40 years, with 3</w:t>
      </w:r>
      <w:r w:rsidR="009A5263" w:rsidRPr="000A0339">
        <w:rPr>
          <w:rFonts w:ascii="JansonTextLT-Roman" w:hAnsi="JansonTextLT-Roman" w:cs="JansonTextLT-Roman"/>
          <w:sz w:val="24"/>
          <w:szCs w:val="24"/>
        </w:rPr>
        <w:t>6 as a median age. Samples were collected b</w:t>
      </w:r>
      <w:r w:rsidR="00157634" w:rsidRPr="000A0339">
        <w:rPr>
          <w:rFonts w:ascii="JansonTextLT-Roman" w:hAnsi="JansonTextLT-Roman" w:cs="JansonTextLT-Roman"/>
          <w:sz w:val="24"/>
          <w:szCs w:val="24"/>
        </w:rPr>
        <w:t>etween March 2011 and May 2011.</w:t>
      </w:r>
    </w:p>
    <w:p w:rsidR="00157634" w:rsidRPr="000A0339" w:rsidRDefault="00157634" w:rsidP="00157634">
      <w:pPr>
        <w:autoSpaceDE w:val="0"/>
        <w:autoSpaceDN w:val="0"/>
        <w:bidi w:val="0"/>
        <w:adjustRightInd w:val="0"/>
        <w:spacing w:after="0" w:line="240" w:lineRule="auto"/>
        <w:rPr>
          <w:rFonts w:ascii="JansonTextLT-Roman" w:hAnsi="JansonTextLT-Roman" w:cs="JansonTextLT-Roman"/>
          <w:sz w:val="24"/>
          <w:szCs w:val="24"/>
        </w:rPr>
      </w:pPr>
    </w:p>
    <w:p w:rsidR="00157634" w:rsidRPr="004B6481" w:rsidRDefault="00157634" w:rsidP="00157634">
      <w:pPr>
        <w:autoSpaceDE w:val="0"/>
        <w:autoSpaceDN w:val="0"/>
        <w:bidi w:val="0"/>
        <w:adjustRightInd w:val="0"/>
        <w:spacing w:after="0" w:line="240" w:lineRule="auto"/>
        <w:rPr>
          <w:rFonts w:ascii="JansonTextLT-Roman" w:hAnsi="JansonTextLT-Roman" w:cs="JansonTextLT-Roman"/>
          <w:b/>
          <w:bCs/>
          <w:sz w:val="24"/>
          <w:szCs w:val="24"/>
        </w:rPr>
      </w:pPr>
      <w:r w:rsidRPr="004B6481">
        <w:rPr>
          <w:rFonts w:ascii="JansonTextLT-Roman" w:hAnsi="JansonTextLT-Roman" w:cs="JansonTextLT-Roman"/>
          <w:b/>
          <w:bCs/>
          <w:sz w:val="24"/>
          <w:szCs w:val="24"/>
        </w:rPr>
        <w:t>miR-21 detection</w:t>
      </w:r>
    </w:p>
    <w:p w:rsidR="008262EF" w:rsidRDefault="008262EF" w:rsidP="008262EF">
      <w:pPr>
        <w:autoSpaceDE w:val="0"/>
        <w:autoSpaceDN w:val="0"/>
        <w:bidi w:val="0"/>
        <w:adjustRightInd w:val="0"/>
        <w:spacing w:after="0" w:line="240" w:lineRule="auto"/>
        <w:rPr>
          <w:rFonts w:ascii="JansonTextLT-Roman" w:hAnsi="JansonTextLT-Roman" w:cs="JansonTextLT-Roman"/>
          <w:sz w:val="24"/>
          <w:szCs w:val="24"/>
        </w:rPr>
      </w:pPr>
      <w:r>
        <w:rPr>
          <w:rFonts w:ascii="JansonTextLT-Roman" w:hAnsi="JansonTextLT-Roman" w:cs="JansonTextLT-Roman"/>
          <w:sz w:val="24"/>
          <w:szCs w:val="24"/>
        </w:rPr>
        <w:t>S</w:t>
      </w:r>
      <w:r w:rsidR="00157634" w:rsidRPr="000A0339">
        <w:rPr>
          <w:rFonts w:ascii="JansonTextLT-Roman" w:hAnsi="JansonTextLT-Roman" w:cs="JansonTextLT-Roman"/>
          <w:sz w:val="24"/>
          <w:szCs w:val="24"/>
        </w:rPr>
        <w:t>erum s</w:t>
      </w:r>
      <w:r>
        <w:rPr>
          <w:rFonts w:ascii="JansonTextLT-Roman" w:hAnsi="JansonTextLT-Roman" w:cs="JansonTextLT-Roman"/>
          <w:sz w:val="24"/>
          <w:szCs w:val="24"/>
        </w:rPr>
        <w:t>amples and total RNA preparation:</w:t>
      </w:r>
    </w:p>
    <w:p w:rsidR="00157634" w:rsidRPr="000A0339" w:rsidRDefault="00B836F1" w:rsidP="008262EF">
      <w:pPr>
        <w:autoSpaceDE w:val="0"/>
        <w:autoSpaceDN w:val="0"/>
        <w:bidi w:val="0"/>
        <w:adjustRightInd w:val="0"/>
        <w:spacing w:after="0" w:line="240" w:lineRule="auto"/>
        <w:rPr>
          <w:rFonts w:ascii="JansonTextLT-Roman" w:hAnsi="JansonTextLT-Roman" w:cs="JansonTextLT-Roman"/>
          <w:sz w:val="24"/>
          <w:szCs w:val="24"/>
        </w:rPr>
      </w:pPr>
      <w:r>
        <w:rPr>
          <w:rFonts w:ascii="JansonTextLT-Roman" w:hAnsi="JansonTextLT-Roman" w:cs="JansonTextLT-Roman"/>
          <w:sz w:val="24"/>
          <w:szCs w:val="24"/>
        </w:rPr>
        <w:t>T</w:t>
      </w:r>
      <w:r w:rsidR="00157634" w:rsidRPr="000A0339">
        <w:rPr>
          <w:rFonts w:ascii="JansonTextLT-Roman" w:hAnsi="JansonTextLT-Roman" w:cs="JansonTextLT-Roman"/>
          <w:sz w:val="24"/>
          <w:szCs w:val="24"/>
        </w:rPr>
        <w:t>he samples w</w:t>
      </w:r>
      <w:r w:rsidR="00603AAB">
        <w:rPr>
          <w:rFonts w:ascii="JansonTextLT-Roman" w:hAnsi="JansonTextLT-Roman" w:cs="JansonTextLT-Roman"/>
          <w:sz w:val="24"/>
          <w:szCs w:val="24"/>
        </w:rPr>
        <w:t xml:space="preserve">ere stored until processing at </w:t>
      </w:r>
      <w:r w:rsidR="00157634" w:rsidRPr="000A0339">
        <w:rPr>
          <w:rFonts w:ascii="JansonTextLT-Roman" w:hAnsi="JansonTextLT-Roman" w:cs="JansonTextLT-Roman"/>
          <w:sz w:val="24"/>
          <w:szCs w:val="24"/>
        </w:rPr>
        <w:t xml:space="preserve">80 </w:t>
      </w:r>
      <w:r w:rsidR="00157634" w:rsidRPr="000A0339">
        <w:rPr>
          <w:rFonts w:ascii="CambriaMath" w:eastAsia="CambriaMath" w:hAnsi="JansonTextLT-Roman" w:cs="CambriaMath" w:hint="eastAsia"/>
          <w:sz w:val="24"/>
          <w:szCs w:val="24"/>
        </w:rPr>
        <w:t>℃</w:t>
      </w:r>
      <w:r w:rsidR="00157634" w:rsidRPr="000A0339">
        <w:rPr>
          <w:rFonts w:ascii="JansonTextLT-Roman" w:hAnsi="JansonTextLT-Roman" w:cs="JansonTextLT-Roman"/>
          <w:sz w:val="24"/>
          <w:szCs w:val="24"/>
        </w:rPr>
        <w:t>.</w:t>
      </w:r>
      <w:r w:rsidR="003253CA" w:rsidRPr="000A0339">
        <w:rPr>
          <w:rFonts w:ascii="JansonTextLT-Roman" w:hAnsi="JansonTextLT-Roman" w:cs="JansonTextLT-Roman"/>
          <w:sz w:val="24"/>
          <w:szCs w:val="24"/>
        </w:rPr>
        <w:t xml:space="preserve"> Adhering to manufactures instructions, the TRIzol reagent from Invitrogen life technologies was used for extraction of total RNAs from serum.</w:t>
      </w:r>
    </w:p>
    <w:p w:rsidR="003253CA" w:rsidRPr="000A0339" w:rsidRDefault="003253CA" w:rsidP="003253CA">
      <w:pPr>
        <w:autoSpaceDE w:val="0"/>
        <w:autoSpaceDN w:val="0"/>
        <w:bidi w:val="0"/>
        <w:adjustRightInd w:val="0"/>
        <w:spacing w:after="0" w:line="240" w:lineRule="auto"/>
        <w:rPr>
          <w:rFonts w:ascii="JansonTextLT-Roman" w:hAnsi="JansonTextLT-Roman" w:cs="JansonTextLT-Roman"/>
          <w:sz w:val="24"/>
          <w:szCs w:val="24"/>
        </w:rPr>
      </w:pPr>
    </w:p>
    <w:p w:rsidR="003253CA" w:rsidRPr="004B6481" w:rsidRDefault="003253CA" w:rsidP="003253CA">
      <w:pPr>
        <w:autoSpaceDE w:val="0"/>
        <w:autoSpaceDN w:val="0"/>
        <w:bidi w:val="0"/>
        <w:adjustRightInd w:val="0"/>
        <w:spacing w:after="0" w:line="240" w:lineRule="auto"/>
        <w:rPr>
          <w:rFonts w:ascii="JansonTextLT-Roman" w:hAnsi="JansonTextLT-Roman" w:cs="JansonTextLT-Roman"/>
          <w:b/>
          <w:bCs/>
          <w:sz w:val="24"/>
          <w:szCs w:val="24"/>
        </w:rPr>
      </w:pPr>
      <w:r w:rsidRPr="004B6481">
        <w:rPr>
          <w:rFonts w:ascii="JansonTextLT-Roman" w:hAnsi="JansonTextLT-Roman" w:cs="JansonTextLT-Roman"/>
          <w:b/>
          <w:bCs/>
          <w:sz w:val="24"/>
          <w:szCs w:val="24"/>
        </w:rPr>
        <w:t>Reverse transcription</w:t>
      </w:r>
    </w:p>
    <w:p w:rsidR="003253CA" w:rsidRPr="000A0339" w:rsidRDefault="003253CA" w:rsidP="004B6481">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 xml:space="preserve">Each 10 </w:t>
      </w:r>
      <w:r w:rsidR="004B6481">
        <w:rPr>
          <w:rFonts w:ascii="JansonTextLT-Roman" w:hAnsi="JansonTextLT-Roman" w:cs="JansonTextLT-Roman"/>
          <w:sz w:val="24"/>
          <w:szCs w:val="24"/>
        </w:rPr>
        <w:t>mL RNA sample was mixed with 3 m</w:t>
      </w:r>
      <w:r w:rsidR="00392B6C" w:rsidRPr="000A0339">
        <w:rPr>
          <w:rFonts w:ascii="JansonTextLT-Roman" w:hAnsi="JansonTextLT-Roman" w:cs="JansonTextLT-Roman"/>
          <w:sz w:val="24"/>
          <w:szCs w:val="24"/>
        </w:rPr>
        <w:t xml:space="preserve">L stem-loop </w:t>
      </w:r>
      <w:r w:rsidRPr="000A0339">
        <w:rPr>
          <w:rFonts w:ascii="JansonTextLT-Roman" w:hAnsi="JansonTextLT-Roman" w:cs="JansonTextLT-Roman"/>
          <w:sz w:val="24"/>
          <w:szCs w:val="24"/>
        </w:rPr>
        <w:t>RT prime</w:t>
      </w:r>
      <w:r w:rsidR="004B6481">
        <w:rPr>
          <w:rFonts w:ascii="JansonTextLT-Roman" w:hAnsi="JansonTextLT-Roman" w:cs="JansonTextLT-Roman"/>
          <w:sz w:val="24"/>
          <w:szCs w:val="24"/>
        </w:rPr>
        <w:t>rs of miR-16 and miR-21, and 4 m</w:t>
      </w:r>
      <w:r w:rsidR="00392B6C" w:rsidRPr="000A0339">
        <w:rPr>
          <w:rFonts w:ascii="JansonTextLT-Roman" w:hAnsi="JansonTextLT-Roman" w:cs="JansonTextLT-Roman"/>
          <w:sz w:val="24"/>
          <w:szCs w:val="24"/>
        </w:rPr>
        <w:t xml:space="preserve">L of 5× RT </w:t>
      </w:r>
      <w:r w:rsidRPr="000A0339">
        <w:rPr>
          <w:rFonts w:ascii="JansonTextLT-Roman" w:hAnsi="JansonTextLT-Roman" w:cs="JansonTextLT-Roman"/>
          <w:sz w:val="24"/>
          <w:szCs w:val="24"/>
        </w:rPr>
        <w:t>Buffer</w:t>
      </w:r>
      <w:r w:rsidR="004B6481">
        <w:rPr>
          <w:rFonts w:ascii="JansonTextLT-Roman" w:hAnsi="JansonTextLT-Roman" w:cs="JansonTextLT-Roman"/>
          <w:sz w:val="24"/>
          <w:szCs w:val="24"/>
        </w:rPr>
        <w:t>, 1 m</w:t>
      </w:r>
      <w:r w:rsidR="00392B6C" w:rsidRPr="000A0339">
        <w:rPr>
          <w:rFonts w:ascii="JansonTextLT-Roman" w:hAnsi="JansonTextLT-Roman" w:cs="JansonTextLT-Roman"/>
          <w:sz w:val="24"/>
          <w:szCs w:val="24"/>
        </w:rPr>
        <w:t>L of Moloney murine leukemia virus (M-MLV) reverse transcriptase [Promega (Beijing) Biotech Co., Ltd.]</w:t>
      </w:r>
      <w:r w:rsidRPr="000A0339">
        <w:rPr>
          <w:rFonts w:ascii="JansonTextLT-Roman" w:hAnsi="JansonTextLT-Roman" w:cs="JansonTextLT-Roman"/>
          <w:sz w:val="24"/>
          <w:szCs w:val="24"/>
        </w:rPr>
        <w:t>,</w:t>
      </w:r>
      <w:r w:rsidR="004B6481">
        <w:rPr>
          <w:rFonts w:ascii="JansonTextLT-Roman" w:hAnsi="JansonTextLT-Roman" w:cs="JansonTextLT-Roman"/>
          <w:sz w:val="24"/>
          <w:szCs w:val="24"/>
        </w:rPr>
        <w:t xml:space="preserve"> 0.5 m</w:t>
      </w:r>
      <w:r w:rsidR="00392B6C" w:rsidRPr="000A0339">
        <w:rPr>
          <w:rFonts w:ascii="JansonTextLT-Roman" w:hAnsi="JansonTextLT-Roman" w:cs="JansonTextLT-Roman"/>
          <w:sz w:val="24"/>
          <w:szCs w:val="24"/>
        </w:rPr>
        <w:t>L of dNTPs [Tiangen Biotech (Beijing) Co., Ltd]. ,</w:t>
      </w:r>
      <w:r w:rsidR="004B6481">
        <w:rPr>
          <w:rFonts w:ascii="JansonTextLT-Roman" w:hAnsi="JansonTextLT-Roman" w:cs="JansonTextLT-Roman"/>
          <w:sz w:val="24"/>
          <w:szCs w:val="24"/>
        </w:rPr>
        <w:t>0.2 m</w:t>
      </w:r>
      <w:r w:rsidRPr="000A0339">
        <w:rPr>
          <w:rFonts w:ascii="JansonTextLT-Roman" w:hAnsi="JansonTextLT-Roman" w:cs="JansonTextLT-Roman"/>
          <w:sz w:val="24"/>
          <w:szCs w:val="24"/>
        </w:rPr>
        <w:t>L of RNasin [Tiangen</w:t>
      </w:r>
    </w:p>
    <w:p w:rsidR="003253CA" w:rsidRPr="000A0339" w:rsidRDefault="00392B6C" w:rsidP="00635A3E">
      <w:pPr>
        <w:autoSpaceDE w:val="0"/>
        <w:autoSpaceDN w:val="0"/>
        <w:bidi w:val="0"/>
        <w:adjustRightInd w:val="0"/>
        <w:spacing w:after="0" w:line="240" w:lineRule="auto"/>
        <w:rPr>
          <w:rFonts w:ascii="CambriaMath" w:eastAsia="CambriaMath" w:hAnsi="JansonTextLT-Roman" w:cs="CambriaMath"/>
          <w:sz w:val="24"/>
          <w:szCs w:val="24"/>
        </w:rPr>
      </w:pPr>
      <w:r w:rsidRPr="000A0339">
        <w:rPr>
          <w:rFonts w:ascii="JansonTextLT-Roman" w:hAnsi="JansonTextLT-Roman" w:cs="JansonTextLT-Roman"/>
          <w:sz w:val="24"/>
          <w:szCs w:val="24"/>
        </w:rPr>
        <w:t xml:space="preserve">Biotech (Beijing) Co., Ltd.]., and 2 μL of 1 mol/L dithiothreitol [DTT; Tiangen Biotech (Beijing) Co., Ltd.] </w:t>
      </w:r>
      <w:r w:rsidR="003253CA" w:rsidRPr="000A0339">
        <w:rPr>
          <w:rFonts w:ascii="JansonTextLT-Roman" w:hAnsi="JansonTextLT-Roman" w:cs="JansonTextLT-Roman"/>
          <w:sz w:val="24"/>
          <w:szCs w:val="24"/>
        </w:rPr>
        <w:t>were added (</w:t>
      </w:r>
      <w:r w:rsidR="003253CA" w:rsidRPr="000A0339">
        <w:rPr>
          <w:rFonts w:ascii="JansonTextLT-Italic" w:hAnsi="JansonTextLT-Italic" w:cs="JansonTextLT-Italic"/>
          <w:i/>
          <w:iCs/>
          <w:sz w:val="24"/>
          <w:szCs w:val="24"/>
        </w:rPr>
        <w:t>Table 1</w:t>
      </w:r>
      <w:r w:rsidR="00635A3E">
        <w:rPr>
          <w:rFonts w:ascii="JansonTextLT-Roman" w:hAnsi="JansonTextLT-Roman" w:cs="JansonTextLT-Roman"/>
          <w:sz w:val="24"/>
          <w:szCs w:val="24"/>
        </w:rPr>
        <w:t>).</w:t>
      </w:r>
      <w:r w:rsidR="004C76DB" w:rsidRPr="000A0339">
        <w:rPr>
          <w:rFonts w:ascii="JansonTextLT-Roman" w:hAnsi="JansonTextLT-Roman" w:cs="JansonTextLT-Roman"/>
          <w:sz w:val="24"/>
          <w:szCs w:val="24"/>
        </w:rPr>
        <w:t xml:space="preserve"> The final </w:t>
      </w:r>
      <w:r w:rsidR="004B6481">
        <w:rPr>
          <w:rFonts w:ascii="JansonTextLT-Roman" w:hAnsi="JansonTextLT-Roman" w:cs="JansonTextLT-Roman"/>
          <w:sz w:val="24"/>
          <w:szCs w:val="24"/>
        </w:rPr>
        <w:t xml:space="preserve">volume of the mixture was 20.7 </w:t>
      </w:r>
      <w:r w:rsidR="004C76DB" w:rsidRPr="000A0339">
        <w:rPr>
          <w:rFonts w:ascii="JansonTextLT-Roman" w:hAnsi="JansonTextLT-Roman" w:cs="JansonTextLT-Roman"/>
          <w:sz w:val="24"/>
          <w:szCs w:val="24"/>
        </w:rPr>
        <w:t>L and incubated at various temperatur</w:t>
      </w:r>
      <w:r w:rsidR="004B6481">
        <w:rPr>
          <w:rFonts w:ascii="JansonTextLT-Roman" w:hAnsi="JansonTextLT-Roman" w:cs="JansonTextLT-Roman"/>
          <w:sz w:val="24"/>
          <w:szCs w:val="24"/>
        </w:rPr>
        <w:t xml:space="preserve">es for different durations, at </w:t>
      </w:r>
      <w:r w:rsidR="004C76DB" w:rsidRPr="000A0339">
        <w:rPr>
          <w:rFonts w:ascii="JansonTextLT-Roman" w:hAnsi="JansonTextLT-Roman" w:cs="JansonTextLT-Roman"/>
          <w:sz w:val="24"/>
          <w:szCs w:val="24"/>
        </w:rPr>
        <w:t>6</w:t>
      </w:r>
      <w:r w:rsidR="004B6481">
        <w:rPr>
          <w:rFonts w:ascii="JansonTextLT-Roman" w:hAnsi="JansonTextLT-Roman" w:cs="JansonTextLT-Roman"/>
          <w:sz w:val="24"/>
          <w:szCs w:val="24"/>
        </w:rPr>
        <w:t>1</w:t>
      </w:r>
      <w:r w:rsidR="004C76DB" w:rsidRPr="000A0339">
        <w:rPr>
          <w:rFonts w:ascii="JansonTextLT-Roman" w:hAnsi="JansonTextLT-Roman" w:cs="JansonTextLT-Roman"/>
          <w:sz w:val="24"/>
          <w:szCs w:val="24"/>
        </w:rPr>
        <w:t xml:space="preserve"> </w:t>
      </w:r>
      <w:r w:rsidR="004C76DB" w:rsidRPr="000A0339">
        <w:rPr>
          <w:rFonts w:ascii="CambriaMath" w:eastAsia="CambriaMath" w:hAnsi="JansonTextLT-Roman" w:cs="CambriaMath" w:hint="eastAsia"/>
          <w:sz w:val="24"/>
          <w:szCs w:val="24"/>
        </w:rPr>
        <w:t>℃</w:t>
      </w:r>
      <w:r w:rsidR="004C76DB" w:rsidRPr="000A0339">
        <w:rPr>
          <w:rFonts w:ascii="CambriaMath" w:eastAsia="CambriaMath" w:hAnsi="JansonTextLT-Roman" w:cs="CambriaMath"/>
          <w:sz w:val="24"/>
          <w:szCs w:val="24"/>
        </w:rPr>
        <w:t xml:space="preserve"> </w:t>
      </w:r>
      <w:r w:rsidR="004B6481">
        <w:rPr>
          <w:rFonts w:ascii="JansonTextLT-Roman" w:hAnsi="JansonTextLT-Roman" w:cs="JansonTextLT-Roman"/>
          <w:sz w:val="24"/>
          <w:szCs w:val="24"/>
        </w:rPr>
        <w:t xml:space="preserve">for 30 min, </w:t>
      </w:r>
      <w:r w:rsidR="004C76DB" w:rsidRPr="000A0339">
        <w:rPr>
          <w:rFonts w:ascii="JansonTextLT-Roman" w:hAnsi="JansonTextLT-Roman" w:cs="JansonTextLT-Roman"/>
          <w:sz w:val="24"/>
          <w:szCs w:val="24"/>
        </w:rPr>
        <w:t>7</w:t>
      </w:r>
      <w:r w:rsidR="004B6481">
        <w:rPr>
          <w:rFonts w:ascii="JansonTextLT-Roman" w:hAnsi="JansonTextLT-Roman" w:cs="JansonTextLT-Roman"/>
          <w:sz w:val="24"/>
          <w:szCs w:val="24"/>
        </w:rPr>
        <w:t>3</w:t>
      </w:r>
      <w:r w:rsidR="004C76DB" w:rsidRPr="000A0339">
        <w:rPr>
          <w:rFonts w:ascii="CambriaMath" w:eastAsia="CambriaMath" w:hAnsi="JansonTextLT-Roman" w:cs="CambriaMath" w:hint="eastAsia"/>
          <w:sz w:val="24"/>
          <w:szCs w:val="24"/>
        </w:rPr>
        <w:t>℃</w:t>
      </w:r>
      <w:r w:rsidR="004C76DB" w:rsidRPr="000A0339">
        <w:rPr>
          <w:rFonts w:ascii="JansonTextLT-Roman" w:hAnsi="JansonTextLT-Roman" w:cs="JansonTextLT-Roman"/>
          <w:sz w:val="24"/>
          <w:szCs w:val="24"/>
        </w:rPr>
        <w:t xml:space="preserve">for 30 min and </w:t>
      </w:r>
      <w:r w:rsidR="004B6481">
        <w:rPr>
          <w:rFonts w:ascii="JansonTextLT-Roman" w:hAnsi="JansonTextLT-Roman" w:cs="JansonTextLT-Roman"/>
          <w:sz w:val="24"/>
          <w:szCs w:val="24"/>
        </w:rPr>
        <w:t>1</w:t>
      </w:r>
      <w:r w:rsidR="004C76DB" w:rsidRPr="000A0339">
        <w:rPr>
          <w:rFonts w:ascii="JansonTextLT-Roman" w:hAnsi="JansonTextLT-Roman" w:cs="JansonTextLT-Roman"/>
          <w:sz w:val="24"/>
          <w:szCs w:val="24"/>
        </w:rPr>
        <w:t xml:space="preserve">70 </w:t>
      </w:r>
      <w:r w:rsidR="004C76DB" w:rsidRPr="000A0339">
        <w:rPr>
          <w:rFonts w:ascii="CambriaMath" w:eastAsia="CambriaMath" w:hAnsi="JansonTextLT-Roman" w:cs="CambriaMath" w:hint="eastAsia"/>
          <w:sz w:val="24"/>
          <w:szCs w:val="24"/>
        </w:rPr>
        <w:t>℃</w:t>
      </w:r>
      <w:r w:rsidR="004C76DB" w:rsidRPr="000A0339">
        <w:rPr>
          <w:rFonts w:ascii="CambriaMath" w:eastAsia="CambriaMath" w:hAnsi="JansonTextLT-Roman" w:cs="CambriaMath"/>
          <w:sz w:val="24"/>
          <w:szCs w:val="24"/>
        </w:rPr>
        <w:t xml:space="preserve"> </w:t>
      </w:r>
      <w:r w:rsidR="004C76DB" w:rsidRPr="000A0339">
        <w:rPr>
          <w:rFonts w:ascii="JansonTextLT-Roman" w:hAnsi="JansonTextLT-Roman" w:cs="JansonTextLT-Roman"/>
          <w:sz w:val="24"/>
          <w:szCs w:val="24"/>
        </w:rPr>
        <w:t xml:space="preserve">for 10 min, and lastly was held at 4 </w:t>
      </w:r>
      <w:r w:rsidR="004C76DB" w:rsidRPr="000A0339">
        <w:rPr>
          <w:rFonts w:ascii="CambriaMath" w:eastAsia="CambriaMath" w:hAnsi="JansonTextLT-Roman" w:cs="CambriaMath" w:hint="eastAsia"/>
          <w:sz w:val="24"/>
          <w:szCs w:val="24"/>
        </w:rPr>
        <w:t>℃</w:t>
      </w:r>
      <w:r w:rsidR="004C76DB" w:rsidRPr="000A0339">
        <w:rPr>
          <w:rFonts w:ascii="CambriaMath" w:eastAsia="CambriaMath" w:hAnsi="JansonTextLT-Roman" w:cs="CambriaMath"/>
          <w:sz w:val="24"/>
          <w:szCs w:val="24"/>
        </w:rPr>
        <w:t>.</w:t>
      </w:r>
    </w:p>
    <w:p w:rsidR="005E50D4" w:rsidRPr="000A0339" w:rsidRDefault="005E50D4" w:rsidP="005E50D4">
      <w:pPr>
        <w:autoSpaceDE w:val="0"/>
        <w:autoSpaceDN w:val="0"/>
        <w:bidi w:val="0"/>
        <w:adjustRightInd w:val="0"/>
        <w:spacing w:after="0" w:line="240" w:lineRule="auto"/>
        <w:rPr>
          <w:rFonts w:ascii="CambriaMath" w:eastAsia="CambriaMath" w:hAnsi="JansonTextLT-Roman" w:cs="CambriaMath"/>
          <w:sz w:val="24"/>
          <w:szCs w:val="24"/>
        </w:rPr>
      </w:pPr>
    </w:p>
    <w:p w:rsidR="005E50D4" w:rsidRPr="004B6481" w:rsidRDefault="005E50D4" w:rsidP="005E50D4">
      <w:pPr>
        <w:autoSpaceDE w:val="0"/>
        <w:autoSpaceDN w:val="0"/>
        <w:bidi w:val="0"/>
        <w:adjustRightInd w:val="0"/>
        <w:spacing w:after="0" w:line="240" w:lineRule="auto"/>
        <w:rPr>
          <w:rFonts w:ascii="JansonTextLT-Roman" w:hAnsi="JansonTextLT-Roman" w:cs="JansonTextLT-Roman"/>
          <w:b/>
          <w:bCs/>
          <w:sz w:val="24"/>
          <w:szCs w:val="24"/>
        </w:rPr>
      </w:pPr>
      <w:r w:rsidRPr="004B6481">
        <w:rPr>
          <w:rFonts w:ascii="JansonTextLT-Roman" w:hAnsi="JansonTextLT-Roman" w:cs="JansonTextLT-Roman"/>
          <w:b/>
          <w:bCs/>
          <w:sz w:val="24"/>
          <w:szCs w:val="24"/>
        </w:rPr>
        <w:lastRenderedPageBreak/>
        <w:t>Real-time PCR</w:t>
      </w:r>
    </w:p>
    <w:p w:rsidR="005E50D4" w:rsidRPr="002B540F" w:rsidRDefault="00E27E44" w:rsidP="00E27E44">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1.6 μL cDNA</w:t>
      </w:r>
      <w:r w:rsidRPr="002B540F">
        <w:rPr>
          <w:rFonts w:ascii="JansonTextLT-Roman" w:hAnsi="JansonTextLT-Roman" w:cs="JansonTextLT-Roman"/>
          <w:sz w:val="24"/>
          <w:szCs w:val="24"/>
        </w:rPr>
        <w:t xml:space="preserve"> is the product of reverse transcription, and this product is mixed with </w:t>
      </w:r>
      <w:r w:rsidRPr="000A0339">
        <w:rPr>
          <w:rFonts w:ascii="JansonTextLT-Roman" w:hAnsi="JansonTextLT-Roman" w:cs="JansonTextLT-Roman"/>
          <w:sz w:val="24"/>
          <w:szCs w:val="24"/>
        </w:rPr>
        <w:t xml:space="preserve">10 μL SYBR Green Master (Roche Co., Ltd.) and 1 μL PCR primers along with other PCR reagents (Table 2). The entire reaction was performed in the ABI 700 Fast PCR system, the conditions for the PCR was denaturing for 10 min at 95 </w:t>
      </w:r>
      <w:r w:rsidRPr="002B540F">
        <w:rPr>
          <w:rFonts w:ascii="Cambria Math" w:hAnsi="Cambria Math" w:cs="Cambria Math"/>
          <w:sz w:val="24"/>
          <w:szCs w:val="24"/>
        </w:rPr>
        <w:t>℃</w:t>
      </w:r>
      <w:r w:rsidRPr="000A0339">
        <w:rPr>
          <w:rFonts w:ascii="JansonTextLT-Roman" w:hAnsi="JansonTextLT-Roman" w:cs="JansonTextLT-Roman"/>
          <w:sz w:val="24"/>
          <w:szCs w:val="24"/>
        </w:rPr>
        <w:t xml:space="preserve">, after which 40 cycles of 95 </w:t>
      </w:r>
      <w:r w:rsidRPr="002B540F">
        <w:rPr>
          <w:rFonts w:ascii="Cambria Math" w:hAnsi="Cambria Math" w:cs="Cambria Math"/>
          <w:sz w:val="24"/>
          <w:szCs w:val="24"/>
        </w:rPr>
        <w:t>℃</w:t>
      </w:r>
      <w:r w:rsidRPr="002B540F">
        <w:rPr>
          <w:rFonts w:ascii="JansonTextLT-Roman" w:hAnsi="JansonTextLT-Roman" w:cs="JansonTextLT-Roman"/>
          <w:sz w:val="24"/>
          <w:szCs w:val="24"/>
        </w:rPr>
        <w:t xml:space="preserve"> for 15s is applied, followed by 60 </w:t>
      </w:r>
      <w:r w:rsidRPr="002B540F">
        <w:rPr>
          <w:rFonts w:ascii="Cambria Math" w:hAnsi="Cambria Math" w:cs="Cambria Math"/>
          <w:sz w:val="24"/>
          <w:szCs w:val="24"/>
        </w:rPr>
        <w:t>℃</w:t>
      </w:r>
      <w:r w:rsidRPr="002B540F">
        <w:rPr>
          <w:rFonts w:ascii="JansonTextLT-Roman" w:hAnsi="JansonTextLT-Roman" w:cs="JansonTextLT-Roman"/>
          <w:sz w:val="24"/>
          <w:szCs w:val="24"/>
        </w:rPr>
        <w:t xml:space="preserve"> for 1 min.</w:t>
      </w:r>
    </w:p>
    <w:p w:rsidR="00BE294E" w:rsidRPr="002B540F" w:rsidRDefault="00BE294E" w:rsidP="00BE294E">
      <w:pPr>
        <w:autoSpaceDE w:val="0"/>
        <w:autoSpaceDN w:val="0"/>
        <w:bidi w:val="0"/>
        <w:adjustRightInd w:val="0"/>
        <w:spacing w:after="0" w:line="240" w:lineRule="auto"/>
        <w:rPr>
          <w:rFonts w:ascii="JansonTextLT-Roman" w:hAnsi="JansonTextLT-Roman" w:cs="JansonTextLT-Roman"/>
          <w:sz w:val="24"/>
          <w:szCs w:val="24"/>
        </w:rPr>
      </w:pPr>
    </w:p>
    <w:p w:rsidR="00BE294E" w:rsidRPr="004B6481" w:rsidRDefault="00BE294E" w:rsidP="00BE294E">
      <w:pPr>
        <w:autoSpaceDE w:val="0"/>
        <w:autoSpaceDN w:val="0"/>
        <w:bidi w:val="0"/>
        <w:adjustRightInd w:val="0"/>
        <w:spacing w:after="0" w:line="240" w:lineRule="auto"/>
        <w:rPr>
          <w:rFonts w:ascii="JansonTextLT-Roman" w:hAnsi="JansonTextLT-Roman" w:cs="JansonTextLT-Roman"/>
          <w:b/>
          <w:bCs/>
          <w:sz w:val="24"/>
          <w:szCs w:val="24"/>
        </w:rPr>
      </w:pPr>
      <w:r w:rsidRPr="004B6481">
        <w:rPr>
          <w:rFonts w:ascii="JansonTextLT-Roman" w:hAnsi="JansonTextLT-Roman" w:cs="JansonTextLT-Roman"/>
          <w:b/>
          <w:bCs/>
          <w:sz w:val="24"/>
          <w:szCs w:val="24"/>
        </w:rPr>
        <w:t>CEA and CA153 detection</w:t>
      </w:r>
    </w:p>
    <w:p w:rsidR="00BE294E" w:rsidRPr="000A0339" w:rsidRDefault="00BE294E" w:rsidP="001427FA">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electrochemiluminescence assays was used  to calculate CEA and CA153 levels</w:t>
      </w:r>
      <w:r w:rsidR="001427FA" w:rsidRPr="000A0339">
        <w:rPr>
          <w:rFonts w:ascii="JansonTextLT-Roman" w:hAnsi="JansonTextLT-Roman" w:cs="JansonTextLT-Roman"/>
          <w:sz w:val="24"/>
          <w:szCs w:val="24"/>
        </w:rPr>
        <w:t xml:space="preserve"> and through Roche E170 MODULAR Immunoassay Analyzer the reaction  is carried out.</w:t>
      </w:r>
    </w:p>
    <w:p w:rsidR="001427FA" w:rsidRPr="000A0339" w:rsidRDefault="001427FA" w:rsidP="001427FA">
      <w:pPr>
        <w:autoSpaceDE w:val="0"/>
        <w:autoSpaceDN w:val="0"/>
        <w:bidi w:val="0"/>
        <w:adjustRightInd w:val="0"/>
        <w:spacing w:after="0" w:line="240" w:lineRule="auto"/>
        <w:rPr>
          <w:rFonts w:ascii="JansonTextLT-Roman" w:hAnsi="JansonTextLT-Roman" w:cs="JansonTextLT-Roman"/>
          <w:sz w:val="24"/>
          <w:szCs w:val="24"/>
        </w:rPr>
      </w:pPr>
    </w:p>
    <w:p w:rsidR="001427FA" w:rsidRPr="004B6481" w:rsidRDefault="001427FA" w:rsidP="001427FA">
      <w:pPr>
        <w:autoSpaceDE w:val="0"/>
        <w:autoSpaceDN w:val="0"/>
        <w:bidi w:val="0"/>
        <w:adjustRightInd w:val="0"/>
        <w:spacing w:after="0" w:line="240" w:lineRule="auto"/>
        <w:rPr>
          <w:rFonts w:ascii="JansonTextLT-Roman" w:hAnsi="JansonTextLT-Roman" w:cs="JansonTextLT-Roman"/>
          <w:b/>
          <w:bCs/>
          <w:sz w:val="24"/>
          <w:szCs w:val="24"/>
        </w:rPr>
      </w:pPr>
      <w:r w:rsidRPr="004B6481">
        <w:rPr>
          <w:rFonts w:ascii="JansonTextLT-Roman" w:hAnsi="JansonTextLT-Roman" w:cs="JansonTextLT-Roman"/>
          <w:b/>
          <w:bCs/>
          <w:sz w:val="24"/>
          <w:szCs w:val="24"/>
        </w:rPr>
        <w:t>Statistical analysis</w:t>
      </w:r>
    </w:p>
    <w:p w:rsidR="001427FA" w:rsidRPr="000A0339" w:rsidRDefault="001427FA" w:rsidP="001427FA">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Using relative change folds, normalization of circulating miR-21 expression was done</w:t>
      </w:r>
      <w:r w:rsidR="00E71589" w:rsidRPr="000A0339">
        <w:rPr>
          <w:rFonts w:ascii="JansonTextLT-Roman" w:hAnsi="JansonTextLT-Roman" w:cs="JansonTextLT-Roman"/>
          <w:sz w:val="24"/>
          <w:szCs w:val="24"/>
        </w:rPr>
        <w:t>. The characteristics of  miR-21 relative expression levels is their range from 25</w:t>
      </w:r>
      <w:r w:rsidR="00E71589" w:rsidRPr="000A0339">
        <w:rPr>
          <w:rFonts w:ascii="JansonTextLT-Roman" w:hAnsi="JansonTextLT-Roman" w:cs="JansonTextLT-Roman"/>
          <w:sz w:val="24"/>
          <w:szCs w:val="24"/>
          <w:vertAlign w:val="superscript"/>
        </w:rPr>
        <w:t>th</w:t>
      </w:r>
      <w:r w:rsidR="00E71589" w:rsidRPr="000A0339">
        <w:rPr>
          <w:rFonts w:ascii="JansonTextLT-Roman" w:hAnsi="JansonTextLT-Roman" w:cs="JansonTextLT-Roman"/>
          <w:sz w:val="24"/>
          <w:szCs w:val="24"/>
        </w:rPr>
        <w:t xml:space="preserve"> to 75</w:t>
      </w:r>
      <w:r w:rsidR="00E71589" w:rsidRPr="000A0339">
        <w:rPr>
          <w:rFonts w:ascii="JansonTextLT-Roman" w:hAnsi="JansonTextLT-Roman" w:cs="JansonTextLT-Roman"/>
          <w:sz w:val="24"/>
          <w:szCs w:val="24"/>
          <w:vertAlign w:val="superscript"/>
        </w:rPr>
        <w:t>th</w:t>
      </w:r>
      <w:r w:rsidR="00E71589" w:rsidRPr="000A0339">
        <w:rPr>
          <w:rFonts w:ascii="JansonTextLT-Roman" w:hAnsi="JansonTextLT-Roman" w:cs="JansonTextLT-Roman"/>
          <w:sz w:val="24"/>
          <w:szCs w:val="24"/>
        </w:rPr>
        <w:t xml:space="preserve"> percentile and by t</w:t>
      </w:r>
      <w:r w:rsidR="002B540F">
        <w:rPr>
          <w:rFonts w:ascii="JansonTextLT-Roman" w:hAnsi="JansonTextLT-Roman" w:cs="JansonTextLT-Roman"/>
          <w:sz w:val="24"/>
          <w:szCs w:val="24"/>
        </w:rPr>
        <w:t xml:space="preserve">heir median. The connection of </w:t>
      </w:r>
      <w:r w:rsidR="002B540F" w:rsidRPr="000A0339">
        <w:rPr>
          <w:rFonts w:ascii="JansonTextLT-Roman" w:hAnsi="JansonTextLT-Roman" w:cs="JansonTextLT-Roman"/>
          <w:sz w:val="24"/>
          <w:szCs w:val="24"/>
        </w:rPr>
        <w:t>patient’s</w:t>
      </w:r>
      <w:r w:rsidR="00E71589" w:rsidRPr="000A0339">
        <w:rPr>
          <w:rFonts w:ascii="JansonTextLT-Roman" w:hAnsi="JansonTextLT-Roman" w:cs="JansonTextLT-Roman"/>
          <w:sz w:val="24"/>
          <w:szCs w:val="24"/>
        </w:rPr>
        <w:t xml:space="preserve"> hormone receptor status with their miR-21is analyzed with mann-whitney test, while the association with of their clinical stage with their miR-21 is calculated through Kruskal-Wallis test. Mann-whitney test was also used to measure miR-21's expression between healthy and BC individuals. The receiver operating characteristic curve (ROC) was used</w:t>
      </w:r>
      <w:r w:rsidR="00F4145C" w:rsidRPr="000A0339">
        <w:rPr>
          <w:rFonts w:ascii="JansonTextLT-Roman" w:hAnsi="JansonTextLT-Roman" w:cs="JansonTextLT-Roman"/>
          <w:sz w:val="24"/>
          <w:szCs w:val="24"/>
        </w:rPr>
        <w:t xml:space="preserve"> to determine the</w:t>
      </w:r>
      <w:r w:rsidR="002B540F">
        <w:rPr>
          <w:rFonts w:ascii="JansonTextLT-Roman" w:hAnsi="JansonTextLT-Roman" w:cs="JansonTextLT-Roman"/>
          <w:sz w:val="24"/>
          <w:szCs w:val="24"/>
        </w:rPr>
        <w:t xml:space="preserve"> cut-off value, which was used </w:t>
      </w:r>
      <w:r w:rsidR="00F4145C" w:rsidRPr="000A0339">
        <w:rPr>
          <w:rFonts w:ascii="JansonTextLT-Roman" w:hAnsi="JansonTextLT-Roman" w:cs="JansonTextLT-Roman"/>
          <w:sz w:val="24"/>
          <w:szCs w:val="24"/>
        </w:rPr>
        <w:t>to identify the specificity and sensitivity values.</w:t>
      </w:r>
      <w:r w:rsidR="00F306C6" w:rsidRPr="000A0339">
        <w:rPr>
          <w:rFonts w:ascii="JansonTextLT-Roman" w:hAnsi="JansonTextLT-Roman" w:cs="JansonTextLT-Roman"/>
          <w:sz w:val="24"/>
          <w:szCs w:val="24"/>
        </w:rPr>
        <w:t xml:space="preserve"> SPSS 16.0 software was used for all statistical anaylysis and statistically significant threshold was set as P &lt;0.05.</w:t>
      </w:r>
    </w:p>
    <w:p w:rsidR="00451DCA" w:rsidRPr="000A0339" w:rsidRDefault="00451DCA" w:rsidP="00451DCA">
      <w:pPr>
        <w:autoSpaceDE w:val="0"/>
        <w:autoSpaceDN w:val="0"/>
        <w:bidi w:val="0"/>
        <w:adjustRightInd w:val="0"/>
        <w:spacing w:after="0" w:line="240" w:lineRule="auto"/>
        <w:rPr>
          <w:rFonts w:ascii="JansonTextLT-Roman" w:hAnsi="JansonTextLT-Roman" w:cs="JansonTextLT-Roman"/>
          <w:sz w:val="24"/>
          <w:szCs w:val="24"/>
        </w:rPr>
      </w:pPr>
    </w:p>
    <w:p w:rsidR="00451DCA" w:rsidRPr="004B6481" w:rsidRDefault="00451DCA" w:rsidP="00451DCA">
      <w:pPr>
        <w:autoSpaceDE w:val="0"/>
        <w:autoSpaceDN w:val="0"/>
        <w:bidi w:val="0"/>
        <w:adjustRightInd w:val="0"/>
        <w:spacing w:after="0" w:line="240" w:lineRule="auto"/>
        <w:rPr>
          <w:rFonts w:ascii="JansonTextLT-Roman" w:hAnsi="JansonTextLT-Roman" w:cs="JansonTextLT-Roman"/>
          <w:b/>
          <w:bCs/>
          <w:sz w:val="24"/>
          <w:szCs w:val="24"/>
        </w:rPr>
      </w:pPr>
      <w:r w:rsidRPr="004B6481">
        <w:rPr>
          <w:rFonts w:ascii="JansonTextLT-Roman" w:hAnsi="JansonTextLT-Roman" w:cs="JansonTextLT-Roman"/>
          <w:b/>
          <w:bCs/>
          <w:sz w:val="24"/>
          <w:szCs w:val="24"/>
        </w:rPr>
        <w:t>Resutls</w:t>
      </w:r>
    </w:p>
    <w:p w:rsidR="00451DCA" w:rsidRPr="00635A3E" w:rsidRDefault="00451DCA" w:rsidP="00451DCA">
      <w:pPr>
        <w:autoSpaceDE w:val="0"/>
        <w:autoSpaceDN w:val="0"/>
        <w:bidi w:val="0"/>
        <w:adjustRightInd w:val="0"/>
        <w:spacing w:after="0" w:line="240" w:lineRule="auto"/>
        <w:rPr>
          <w:rFonts w:ascii="JansonTextLT-Roman" w:hAnsi="JansonTextLT-Roman" w:cs="JansonTextLT-Roman"/>
          <w:b/>
          <w:bCs/>
          <w:sz w:val="24"/>
          <w:szCs w:val="24"/>
        </w:rPr>
      </w:pPr>
      <w:r w:rsidRPr="00635A3E">
        <w:rPr>
          <w:rFonts w:ascii="JansonTextLT-Roman" w:hAnsi="JansonTextLT-Roman" w:cs="JansonTextLT-Roman"/>
          <w:b/>
          <w:bCs/>
          <w:sz w:val="24"/>
          <w:szCs w:val="24"/>
        </w:rPr>
        <w:t>Target gene amplification</w:t>
      </w:r>
    </w:p>
    <w:p w:rsidR="00451DCA" w:rsidRPr="000A0339" w:rsidRDefault="00451DCA" w:rsidP="00C84157">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Pure homogenous  products of miR-21 and miR-16 f</w:t>
      </w:r>
      <w:r w:rsidR="008262EF">
        <w:rPr>
          <w:rFonts w:ascii="JansonTextLT-Roman" w:hAnsi="JansonTextLT-Roman" w:cs="JansonTextLT-Roman"/>
          <w:sz w:val="24"/>
          <w:szCs w:val="24"/>
        </w:rPr>
        <w:t>rom PCR was obtained (figure 1)</w:t>
      </w:r>
      <w:r w:rsidRPr="000A0339">
        <w:rPr>
          <w:rFonts w:ascii="JansonTextLT-Roman" w:hAnsi="JansonTextLT-Roman" w:cs="JansonTextLT-Roman"/>
          <w:sz w:val="24"/>
          <w:szCs w:val="24"/>
        </w:rPr>
        <w:t xml:space="preserve">, as indicated from </w:t>
      </w:r>
      <w:r w:rsidR="0029755B" w:rsidRPr="000A0339">
        <w:rPr>
          <w:rFonts w:ascii="JansonTextLT-Roman" w:hAnsi="JansonTextLT-Roman" w:cs="JansonTextLT-Roman"/>
          <w:sz w:val="24"/>
          <w:szCs w:val="24"/>
        </w:rPr>
        <w:t xml:space="preserve"> their</w:t>
      </w:r>
      <w:r w:rsidR="00C84157" w:rsidRPr="000A0339">
        <w:rPr>
          <w:rFonts w:ascii="JansonTextLT-Roman" w:hAnsi="JansonTextLT-Roman" w:cs="JansonTextLT-Roman"/>
          <w:sz w:val="24"/>
          <w:szCs w:val="24"/>
        </w:rPr>
        <w:t xml:space="preserve"> melting curves (figure 2) with</w:t>
      </w:r>
      <w:r w:rsidRPr="000A0339">
        <w:rPr>
          <w:rFonts w:ascii="JansonTextLT-Roman" w:hAnsi="JansonTextLT-Roman" w:cs="JansonTextLT-Roman"/>
          <w:sz w:val="24"/>
          <w:szCs w:val="24"/>
        </w:rPr>
        <w:t xml:space="preserve"> narrow peak and sharply defined </w:t>
      </w:r>
      <w:r w:rsidR="00C84157" w:rsidRPr="000A0339">
        <w:rPr>
          <w:rFonts w:ascii="JansonTextLT-Roman" w:hAnsi="JansonTextLT-Roman" w:cs="JansonTextLT-Roman"/>
          <w:sz w:val="24"/>
          <w:szCs w:val="24"/>
        </w:rPr>
        <w:t>curves.</w:t>
      </w:r>
      <w:r w:rsidRPr="000A0339">
        <w:rPr>
          <w:rFonts w:ascii="JansonTextLT-Roman" w:hAnsi="JansonTextLT-Roman" w:cs="JansonTextLT-Roman"/>
          <w:sz w:val="24"/>
          <w:szCs w:val="24"/>
        </w:rPr>
        <w:t xml:space="preserve"> </w:t>
      </w:r>
    </w:p>
    <w:p w:rsidR="0029755B" w:rsidRPr="000A0339" w:rsidRDefault="0029755B" w:rsidP="0029755B">
      <w:pPr>
        <w:autoSpaceDE w:val="0"/>
        <w:autoSpaceDN w:val="0"/>
        <w:bidi w:val="0"/>
        <w:adjustRightInd w:val="0"/>
        <w:spacing w:after="0" w:line="240" w:lineRule="auto"/>
        <w:rPr>
          <w:rFonts w:ascii="JansonTextLT-Roman" w:hAnsi="JansonTextLT-Roman" w:cs="JansonTextLT-Roman"/>
          <w:sz w:val="24"/>
          <w:szCs w:val="24"/>
        </w:rPr>
      </w:pPr>
    </w:p>
    <w:p w:rsidR="0029755B" w:rsidRPr="00635A3E" w:rsidRDefault="0029755B" w:rsidP="0029755B">
      <w:pPr>
        <w:autoSpaceDE w:val="0"/>
        <w:autoSpaceDN w:val="0"/>
        <w:bidi w:val="0"/>
        <w:adjustRightInd w:val="0"/>
        <w:spacing w:after="0" w:line="240" w:lineRule="auto"/>
        <w:rPr>
          <w:rFonts w:ascii="JansonTextLT-Roman" w:hAnsi="JansonTextLT-Roman" w:cs="JansonTextLT-Roman"/>
          <w:b/>
          <w:bCs/>
          <w:sz w:val="24"/>
          <w:szCs w:val="24"/>
        </w:rPr>
      </w:pPr>
      <w:r w:rsidRPr="00635A3E">
        <w:rPr>
          <w:rFonts w:ascii="JansonTextLT-Roman" w:hAnsi="JansonTextLT-Roman" w:cs="JansonTextLT-Roman"/>
          <w:b/>
          <w:bCs/>
          <w:sz w:val="24"/>
          <w:szCs w:val="24"/>
        </w:rPr>
        <w:t>The expression of miR-21 in BC</w:t>
      </w:r>
    </w:p>
    <w:p w:rsidR="0029755B" w:rsidRPr="000A0339" w:rsidRDefault="0029755B" w:rsidP="00635A3E">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 xml:space="preserve">miR-21 expression was evaluated in in 89 BC diagnosed patients. </w:t>
      </w:r>
      <w:r w:rsidR="00635A3E">
        <w:rPr>
          <w:rFonts w:ascii="JansonTextLT-Roman" w:hAnsi="JansonTextLT-Roman" w:cs="JansonTextLT-Roman"/>
          <w:sz w:val="24"/>
          <w:szCs w:val="24"/>
        </w:rPr>
        <w:t xml:space="preserve">The patients showed high level of </w:t>
      </w:r>
      <w:r w:rsidRPr="000A0339">
        <w:rPr>
          <w:rFonts w:ascii="JansonTextLT-Roman" w:hAnsi="JansonTextLT-Roman" w:cs="JansonTextLT-Roman"/>
          <w:sz w:val="24"/>
          <w:szCs w:val="24"/>
        </w:rPr>
        <w:t xml:space="preserve"> miR-21 </w:t>
      </w:r>
      <w:r w:rsidR="00635A3E">
        <w:rPr>
          <w:rFonts w:ascii="JansonTextLT-Roman" w:hAnsi="JansonTextLT-Roman" w:cs="JansonTextLT-Roman"/>
          <w:sz w:val="24"/>
          <w:szCs w:val="24"/>
        </w:rPr>
        <w:t>which was</w:t>
      </w:r>
      <w:r w:rsidRPr="000A0339">
        <w:rPr>
          <w:rFonts w:ascii="JansonTextLT-Roman" w:hAnsi="JansonTextLT-Roman" w:cs="JansonTextLT-Roman"/>
          <w:sz w:val="24"/>
          <w:szCs w:val="24"/>
        </w:rPr>
        <w:t xml:space="preserve"> significantly </w:t>
      </w:r>
      <w:r w:rsidR="00635A3E">
        <w:rPr>
          <w:rFonts w:ascii="JansonTextLT-Roman" w:hAnsi="JansonTextLT-Roman" w:cs="JansonTextLT-Roman"/>
          <w:sz w:val="24"/>
          <w:szCs w:val="24"/>
        </w:rPr>
        <w:t>high among</w:t>
      </w:r>
      <w:r w:rsidRPr="000A0339">
        <w:rPr>
          <w:rFonts w:ascii="JansonTextLT-Roman" w:hAnsi="JansonTextLT-Roman" w:cs="JansonTextLT-Roman"/>
          <w:sz w:val="24"/>
          <w:szCs w:val="24"/>
        </w:rPr>
        <w:t xml:space="preserve"> BC patients (30.82), resulting in (P &lt; 0.001) with a ratio of 3.39 (figure 3).</w:t>
      </w:r>
    </w:p>
    <w:p w:rsidR="00562F8F" w:rsidRPr="000A0339" w:rsidRDefault="00562F8F" w:rsidP="00562F8F">
      <w:pPr>
        <w:autoSpaceDE w:val="0"/>
        <w:autoSpaceDN w:val="0"/>
        <w:bidi w:val="0"/>
        <w:adjustRightInd w:val="0"/>
        <w:spacing w:after="0" w:line="240" w:lineRule="auto"/>
        <w:rPr>
          <w:rFonts w:ascii="JansonTextLT-Roman" w:hAnsi="JansonTextLT-Roman" w:cs="JansonTextLT-Roman"/>
          <w:sz w:val="24"/>
          <w:szCs w:val="24"/>
        </w:rPr>
      </w:pPr>
    </w:p>
    <w:p w:rsidR="00562F8F" w:rsidRPr="00635A3E" w:rsidRDefault="00562F8F" w:rsidP="00562F8F">
      <w:pPr>
        <w:autoSpaceDE w:val="0"/>
        <w:autoSpaceDN w:val="0"/>
        <w:bidi w:val="0"/>
        <w:adjustRightInd w:val="0"/>
        <w:spacing w:after="0" w:line="240" w:lineRule="auto"/>
        <w:rPr>
          <w:rFonts w:ascii="JansonTextLT-Roman" w:hAnsi="JansonTextLT-Roman" w:cs="JansonTextLT-Roman"/>
          <w:b/>
          <w:bCs/>
          <w:sz w:val="24"/>
          <w:szCs w:val="24"/>
        </w:rPr>
      </w:pPr>
      <w:r w:rsidRPr="00635A3E">
        <w:rPr>
          <w:rFonts w:ascii="JansonTextLT-Roman" w:hAnsi="JansonTextLT-Roman" w:cs="JansonTextLT-Roman"/>
          <w:b/>
          <w:bCs/>
          <w:sz w:val="24"/>
          <w:szCs w:val="24"/>
        </w:rPr>
        <w:t>miR-21 ROC curve</w:t>
      </w:r>
    </w:p>
    <w:p w:rsidR="00562F8F" w:rsidRPr="000A0339" w:rsidRDefault="00562F8F" w:rsidP="00562F8F">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13.22 was</w:t>
      </w:r>
      <w:r w:rsidR="00DE55FC" w:rsidRPr="000A0339">
        <w:rPr>
          <w:rFonts w:ascii="JansonTextLT-Roman" w:hAnsi="JansonTextLT-Roman" w:cs="JansonTextLT-Roman"/>
          <w:sz w:val="24"/>
          <w:szCs w:val="24"/>
        </w:rPr>
        <w:t xml:space="preserve"> the best designated cut-off value, and 92.9% was determined to be the area under ROC curve (ROC-AUC) (95% confidence interval: 88.3%, 97.4%)</w:t>
      </w:r>
      <w:r w:rsidR="000431A0" w:rsidRPr="000A0339">
        <w:rPr>
          <w:rFonts w:ascii="JansonTextLT-Roman" w:hAnsi="JansonTextLT-Roman" w:cs="JansonTextLT-Roman"/>
          <w:sz w:val="24"/>
          <w:szCs w:val="24"/>
        </w:rPr>
        <w:t>, while 87.6% and 87.3% were sensitivity and specificity values respectively, as shown in (figure 4).</w:t>
      </w:r>
    </w:p>
    <w:p w:rsidR="000431A0" w:rsidRPr="000A0339" w:rsidRDefault="000431A0" w:rsidP="000431A0">
      <w:pPr>
        <w:autoSpaceDE w:val="0"/>
        <w:autoSpaceDN w:val="0"/>
        <w:bidi w:val="0"/>
        <w:adjustRightInd w:val="0"/>
        <w:spacing w:after="0" w:line="240" w:lineRule="auto"/>
        <w:rPr>
          <w:rFonts w:ascii="JansonTextLT-Roman" w:hAnsi="JansonTextLT-Roman" w:cs="JansonTextLT-Roman"/>
          <w:sz w:val="24"/>
          <w:szCs w:val="24"/>
        </w:rPr>
      </w:pPr>
    </w:p>
    <w:p w:rsidR="000431A0" w:rsidRPr="00635A3E" w:rsidRDefault="000431A0" w:rsidP="000431A0">
      <w:pPr>
        <w:autoSpaceDE w:val="0"/>
        <w:autoSpaceDN w:val="0"/>
        <w:bidi w:val="0"/>
        <w:adjustRightInd w:val="0"/>
        <w:spacing w:after="0" w:line="240" w:lineRule="auto"/>
        <w:rPr>
          <w:rFonts w:ascii="JansonTextLT-Roman" w:hAnsi="JansonTextLT-Roman" w:cs="JansonTextLT-Roman"/>
          <w:b/>
          <w:bCs/>
          <w:sz w:val="24"/>
          <w:szCs w:val="24"/>
        </w:rPr>
      </w:pPr>
      <w:r w:rsidRPr="00635A3E">
        <w:rPr>
          <w:rFonts w:ascii="JansonTextLT-Roman" w:hAnsi="JansonTextLT-Roman" w:cs="JansonTextLT-Roman"/>
          <w:b/>
          <w:bCs/>
          <w:sz w:val="24"/>
          <w:szCs w:val="24"/>
        </w:rPr>
        <w:t>Clinical and pathological feature's association with miR021 expression levels</w:t>
      </w:r>
    </w:p>
    <w:p w:rsidR="000431A0" w:rsidRPr="000A0339" w:rsidRDefault="000431A0" w:rsidP="000431A0">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 xml:space="preserve">According to status of hormone receptors and clinical stage of the patients, they were classified into groups and miR-21 median expression level is shown according in table 3. </w:t>
      </w:r>
      <w:r w:rsidR="003F0256" w:rsidRPr="000A0339">
        <w:rPr>
          <w:rFonts w:ascii="JansonTextLT-Roman" w:hAnsi="JansonTextLT-Roman" w:cs="JansonTextLT-Roman"/>
          <w:sz w:val="24"/>
          <w:szCs w:val="24"/>
        </w:rPr>
        <w:t>However, no correlation was observed between patient's clinical stage and hormone receptor statuses against their miR-21(P&gt;0.05).</w:t>
      </w:r>
    </w:p>
    <w:p w:rsidR="003F0256" w:rsidRPr="000A0339" w:rsidRDefault="003F0256" w:rsidP="003F0256">
      <w:pPr>
        <w:autoSpaceDE w:val="0"/>
        <w:autoSpaceDN w:val="0"/>
        <w:bidi w:val="0"/>
        <w:adjustRightInd w:val="0"/>
        <w:spacing w:after="0" w:line="240" w:lineRule="auto"/>
        <w:rPr>
          <w:rFonts w:ascii="JansonTextLT-Roman" w:hAnsi="JansonTextLT-Roman" w:cs="JansonTextLT-Roman"/>
          <w:sz w:val="24"/>
          <w:szCs w:val="24"/>
        </w:rPr>
      </w:pPr>
    </w:p>
    <w:p w:rsidR="003F0256" w:rsidRPr="00635A3E" w:rsidRDefault="00C5670C" w:rsidP="003F0256">
      <w:pPr>
        <w:autoSpaceDE w:val="0"/>
        <w:autoSpaceDN w:val="0"/>
        <w:bidi w:val="0"/>
        <w:adjustRightInd w:val="0"/>
        <w:spacing w:after="0" w:line="240" w:lineRule="auto"/>
        <w:rPr>
          <w:rFonts w:ascii="JansonTextLT-Roman" w:hAnsi="JansonTextLT-Roman" w:cs="JansonTextLT-Roman"/>
          <w:b/>
          <w:bCs/>
          <w:sz w:val="24"/>
          <w:szCs w:val="24"/>
        </w:rPr>
      </w:pPr>
      <w:r w:rsidRPr="00635A3E">
        <w:rPr>
          <w:rFonts w:ascii="JansonTextLT-Roman" w:hAnsi="JansonTextLT-Roman" w:cs="JansonTextLT-Roman"/>
          <w:b/>
          <w:bCs/>
          <w:sz w:val="24"/>
          <w:szCs w:val="24"/>
        </w:rPr>
        <w:t>miR-21 comparison with traditional tumor markers CEA and CA153</w:t>
      </w:r>
    </w:p>
    <w:p w:rsidR="00C5670C" w:rsidRPr="000A0339" w:rsidRDefault="00C5670C" w:rsidP="00C5670C">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 xml:space="preserve">Patients are grouped into different classes according to their clinical stage in table 4, and listing their CEA, CA153 and miR-21 median expression levels. Significant difference is detected as the overall sensitivity of CEA and CA153 were merely </w:t>
      </w:r>
      <w:r w:rsidRPr="000A0339">
        <w:rPr>
          <w:rFonts w:ascii="JansonTextLT-Roman" w:hAnsi="JansonTextLT-Roman" w:cs="JansonTextLT-Roman"/>
          <w:sz w:val="24"/>
          <w:szCs w:val="24"/>
        </w:rPr>
        <w:lastRenderedPageBreak/>
        <w:t>15.73% and 22.47% respectively, while miR-21's overall sensitivity was 87.64%. Particularly in early stage (stage I), the sensitivity of CEA and CA153 is only (4.76%), while miR-21 boasts a marked diagnostic sensitivity of (95.24) (Table 4).</w:t>
      </w:r>
    </w:p>
    <w:p w:rsidR="00C5670C" w:rsidRPr="000A0339" w:rsidRDefault="00C5670C" w:rsidP="00C5670C">
      <w:pPr>
        <w:autoSpaceDE w:val="0"/>
        <w:autoSpaceDN w:val="0"/>
        <w:bidi w:val="0"/>
        <w:adjustRightInd w:val="0"/>
        <w:spacing w:after="0" w:line="240" w:lineRule="auto"/>
        <w:rPr>
          <w:rFonts w:ascii="JansonTextLT-Roman" w:hAnsi="JansonTextLT-Roman" w:cs="JansonTextLT-Roman"/>
          <w:sz w:val="24"/>
          <w:szCs w:val="24"/>
        </w:rPr>
      </w:pPr>
    </w:p>
    <w:p w:rsidR="00C5670C" w:rsidRPr="004B6481" w:rsidRDefault="00C5670C" w:rsidP="00C5670C">
      <w:pPr>
        <w:autoSpaceDE w:val="0"/>
        <w:autoSpaceDN w:val="0"/>
        <w:bidi w:val="0"/>
        <w:adjustRightInd w:val="0"/>
        <w:spacing w:after="0" w:line="240" w:lineRule="auto"/>
        <w:rPr>
          <w:rFonts w:ascii="JansonTextLT-Roman" w:hAnsi="JansonTextLT-Roman" w:cs="JansonTextLT-Roman"/>
          <w:b/>
          <w:bCs/>
          <w:sz w:val="24"/>
          <w:szCs w:val="24"/>
        </w:rPr>
      </w:pPr>
      <w:r w:rsidRPr="004B6481">
        <w:rPr>
          <w:rFonts w:ascii="JansonTextLT-Roman" w:hAnsi="JansonTextLT-Roman" w:cs="JansonTextLT-Roman"/>
          <w:b/>
          <w:bCs/>
          <w:sz w:val="24"/>
          <w:szCs w:val="24"/>
        </w:rPr>
        <w:t>Discussion</w:t>
      </w:r>
    </w:p>
    <w:p w:rsidR="00C5670C" w:rsidRPr="000A0339" w:rsidRDefault="00C5670C" w:rsidP="00C5670C">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It is 19-</w:t>
      </w:r>
      <w:r w:rsidR="00E23663" w:rsidRPr="000A0339">
        <w:rPr>
          <w:rFonts w:ascii="JansonTextLT-Roman" w:hAnsi="JansonTextLT-Roman" w:cs="JansonTextLT-Roman"/>
          <w:sz w:val="24"/>
          <w:szCs w:val="24"/>
        </w:rPr>
        <w:t>25 nucleotides</w:t>
      </w:r>
      <w:r w:rsidRPr="000A0339">
        <w:rPr>
          <w:rFonts w:ascii="JansonTextLT-Roman" w:hAnsi="JansonTextLT-Roman" w:cs="JansonTextLT-Roman"/>
          <w:sz w:val="24"/>
          <w:szCs w:val="24"/>
        </w:rPr>
        <w:t xml:space="preserve"> that make up the molecule of miRNAs</w:t>
      </w:r>
      <w:r w:rsidR="00E23663" w:rsidRPr="000A0339">
        <w:rPr>
          <w:rFonts w:ascii="JansonTextLT-Roman" w:hAnsi="JansonTextLT-Roman" w:cs="JansonTextLT-Roman"/>
          <w:sz w:val="24"/>
          <w:szCs w:val="24"/>
        </w:rPr>
        <w:t>, Small indeed, but various biological signaling pa</w:t>
      </w:r>
      <w:r w:rsidR="00C96D5B">
        <w:rPr>
          <w:rFonts w:ascii="JansonTextLT-Roman" w:hAnsi="JansonTextLT-Roman" w:cs="JansonTextLT-Roman"/>
          <w:sz w:val="24"/>
          <w:szCs w:val="24"/>
        </w:rPr>
        <w:t>thways are regulated by them [8]</w:t>
      </w:r>
      <w:r w:rsidR="00E23663" w:rsidRPr="000A0339">
        <w:rPr>
          <w:rFonts w:ascii="JansonTextLT-Roman" w:hAnsi="JansonTextLT-Roman" w:cs="JansonTextLT-Roman"/>
          <w:sz w:val="24"/>
          <w:szCs w:val="24"/>
        </w:rPr>
        <w:t>. The close relationship between the many characteristics of tumors including their development, invasion and metastasis and miRNA has been demonstrated by many studies, and in cancer therapy, this could be a bases for entirely ne</w:t>
      </w:r>
      <w:r w:rsidR="00C96D5B">
        <w:rPr>
          <w:rFonts w:ascii="JansonTextLT-Roman" w:hAnsi="JansonTextLT-Roman" w:cs="JansonTextLT-Roman"/>
          <w:sz w:val="24"/>
          <w:szCs w:val="24"/>
        </w:rPr>
        <w:t>w strategies to fight cancer [9]</w:t>
      </w:r>
      <w:r w:rsidR="00E23663" w:rsidRPr="000A0339">
        <w:rPr>
          <w:rFonts w:ascii="JansonTextLT-Roman" w:hAnsi="JansonTextLT-Roman" w:cs="JansonTextLT-Roman"/>
          <w:sz w:val="24"/>
          <w:szCs w:val="24"/>
        </w:rPr>
        <w:t>. Many malignant tumors have shown increased miRNA s</w:t>
      </w:r>
      <w:r w:rsidR="00C96D5B">
        <w:rPr>
          <w:rFonts w:ascii="JansonTextLT-Roman" w:hAnsi="JansonTextLT-Roman" w:cs="JansonTextLT-Roman"/>
          <w:sz w:val="24"/>
          <w:szCs w:val="24"/>
        </w:rPr>
        <w:t>erum expression [10]</w:t>
      </w:r>
      <w:r w:rsidR="00E23663" w:rsidRPr="000A0339">
        <w:rPr>
          <w:rFonts w:ascii="JansonTextLT-Roman" w:hAnsi="JansonTextLT-Roman" w:cs="JansonTextLT-Roman"/>
          <w:sz w:val="24"/>
          <w:szCs w:val="24"/>
        </w:rPr>
        <w:t>. And as a diagnostic and prognostic marker, it is been getting increasingly more attention.</w:t>
      </w:r>
    </w:p>
    <w:p w:rsidR="00E23663" w:rsidRPr="000A0339" w:rsidRDefault="00E23663" w:rsidP="00E23663">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It is to no surprise that an early diagnostic indicator for the commonest cancer among woman</w:t>
      </w:r>
      <w:r w:rsidR="00EF33F8" w:rsidRPr="000A0339">
        <w:rPr>
          <w:rFonts w:ascii="JansonTextLT-Roman" w:hAnsi="JansonTextLT-Roman" w:cs="JansonTextLT-Roman"/>
          <w:sz w:val="24"/>
          <w:szCs w:val="24"/>
        </w:rPr>
        <w:t>, that is BC, is of great value, affecting prognosis. Due to their simple and less invasive nature, serum markers are the focus of interest. Despite their low sensitivity and specificity</w:t>
      </w:r>
      <w:r w:rsidR="00C96D5B">
        <w:rPr>
          <w:rFonts w:ascii="JansonTextLT-Roman" w:hAnsi="JansonTextLT-Roman" w:cs="JansonTextLT-Roman"/>
          <w:sz w:val="24"/>
          <w:szCs w:val="24"/>
        </w:rPr>
        <w:t>, especially in early stages [11]</w:t>
      </w:r>
      <w:r w:rsidR="00EF33F8" w:rsidRPr="000A0339">
        <w:rPr>
          <w:rFonts w:ascii="JansonTextLT-Roman" w:hAnsi="JansonTextLT-Roman" w:cs="JansonTextLT-Roman"/>
          <w:sz w:val="24"/>
          <w:szCs w:val="24"/>
        </w:rPr>
        <w:t>, CEA and CA153 are still commonly used in BC patients monitoring, since relapse is associated with high levels of these markers. Furthermore, CEA cannot be used in diagnosis early stages of BC, since it has a lower positive rate, and it is a nonspecific tumor marker.</w:t>
      </w:r>
    </w:p>
    <w:p w:rsidR="00EF33F8" w:rsidRPr="000A0339" w:rsidRDefault="00EF33F8" w:rsidP="00EF33F8">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Differential expression of some miRNA in normal and BC tissues has been demonstrated recently, such as l</w:t>
      </w:r>
      <w:r w:rsidR="00C96D5B">
        <w:rPr>
          <w:rFonts w:ascii="JansonTextLT-Roman" w:hAnsi="JansonTextLT-Roman" w:cs="JansonTextLT-Roman"/>
          <w:sz w:val="24"/>
          <w:szCs w:val="24"/>
        </w:rPr>
        <w:t>et-7a(8), miR-21, and miR-145 [12]</w:t>
      </w:r>
      <w:r w:rsidRPr="000A0339">
        <w:rPr>
          <w:rFonts w:ascii="JansonTextLT-Roman" w:hAnsi="JansonTextLT-Roman" w:cs="JansonTextLT-Roman"/>
          <w:sz w:val="24"/>
          <w:szCs w:val="24"/>
        </w:rPr>
        <w:t xml:space="preserve">. In BC cells, they take care of biological process regulation, </w:t>
      </w:r>
      <w:r w:rsidR="004615B7" w:rsidRPr="000A0339">
        <w:rPr>
          <w:rFonts w:ascii="JansonTextLT-Roman" w:hAnsi="JansonTextLT-Roman" w:cs="JansonTextLT-Roman"/>
          <w:sz w:val="24"/>
          <w:szCs w:val="24"/>
        </w:rPr>
        <w:t>and various roles in apoptosis and proliferation. The possibility of miRNA acting as a BC tumor marker for diagnositic and therapeutic purpos</w:t>
      </w:r>
      <w:r w:rsidR="00C96D5B">
        <w:rPr>
          <w:rFonts w:ascii="JansonTextLT-Roman" w:hAnsi="JansonTextLT-Roman" w:cs="JansonTextLT-Roman"/>
          <w:sz w:val="24"/>
          <w:szCs w:val="24"/>
        </w:rPr>
        <w:t>es as been reported recently [13]</w:t>
      </w:r>
      <w:r w:rsidR="004615B7" w:rsidRPr="000A0339">
        <w:rPr>
          <w:rFonts w:ascii="JansonTextLT-Roman" w:hAnsi="JansonTextLT-Roman" w:cs="JansonTextLT-Roman"/>
          <w:sz w:val="24"/>
          <w:szCs w:val="24"/>
        </w:rPr>
        <w:t>.</w:t>
      </w:r>
    </w:p>
    <w:p w:rsidR="005D025A" w:rsidRPr="000A0339" w:rsidRDefault="00E96481" w:rsidP="00C96D5B">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 xml:space="preserve">miR-21 has independent transcriptional units </w:t>
      </w:r>
      <w:r w:rsidR="00C96D5B">
        <w:rPr>
          <w:rFonts w:ascii="JansonTextLT-Roman" w:hAnsi="JansonTextLT-Roman" w:cs="JansonTextLT-Roman"/>
          <w:sz w:val="24"/>
          <w:szCs w:val="24"/>
        </w:rPr>
        <w:t>[10]</w:t>
      </w:r>
      <w:r w:rsidRPr="000A0339">
        <w:rPr>
          <w:rFonts w:ascii="JansonTextLT-Roman" w:hAnsi="JansonTextLT-Roman" w:cs="JansonTextLT-Roman"/>
          <w:sz w:val="24"/>
          <w:szCs w:val="24"/>
        </w:rPr>
        <w:t xml:space="preserve"> and is located on 17q23.2. it has shown significant ro</w:t>
      </w:r>
      <w:r w:rsidR="00C96D5B">
        <w:rPr>
          <w:rFonts w:ascii="JansonTextLT-Roman" w:hAnsi="JansonTextLT-Roman" w:cs="JansonTextLT-Roman"/>
          <w:sz w:val="24"/>
          <w:szCs w:val="24"/>
        </w:rPr>
        <w:t>le in colon cancer development [10,11], lung cancer development [12,13], as well as stomach cancer [15] and finally BC [13]</w:t>
      </w:r>
      <w:r w:rsidRPr="000A0339">
        <w:rPr>
          <w:rFonts w:ascii="JansonTextLT-Roman" w:hAnsi="JansonTextLT-Roman" w:cs="JansonTextLT-Roman"/>
          <w:sz w:val="24"/>
          <w:szCs w:val="24"/>
        </w:rPr>
        <w:t xml:space="preserve"> et al., as it partakes in expressing and regulating numerous tumor suppressor genes. </w:t>
      </w:r>
      <w:r w:rsidR="00F53613" w:rsidRPr="000A0339">
        <w:rPr>
          <w:rFonts w:ascii="JansonTextLT-Roman" w:hAnsi="JansonTextLT-Roman" w:cs="JansonTextLT-Roman"/>
          <w:sz w:val="24"/>
          <w:szCs w:val="24"/>
        </w:rPr>
        <w:t>Many studies have used various metho</w:t>
      </w:r>
      <w:r w:rsidR="00C96D5B">
        <w:rPr>
          <w:rFonts w:ascii="JansonTextLT-Roman" w:hAnsi="JansonTextLT-Roman" w:cs="JansonTextLT-Roman"/>
          <w:sz w:val="24"/>
          <w:szCs w:val="24"/>
        </w:rPr>
        <w:t xml:space="preserve">ds such as Northern blotting </w:t>
      </w:r>
      <w:r w:rsidR="00F53613" w:rsidRPr="000A0339">
        <w:rPr>
          <w:rFonts w:ascii="JansonTextLT-Roman" w:hAnsi="JansonTextLT-Roman" w:cs="JansonTextLT-Roman"/>
          <w:sz w:val="24"/>
          <w:szCs w:val="24"/>
        </w:rPr>
        <w:t>,</w:t>
      </w:r>
      <w:r w:rsidR="003F4D74" w:rsidRPr="000A0339">
        <w:rPr>
          <w:rFonts w:ascii="JansonTextLT-Roman" w:hAnsi="JansonTextLT-Roman" w:cs="JansonTextLT-Roman"/>
          <w:sz w:val="24"/>
          <w:szCs w:val="24"/>
        </w:rPr>
        <w:t xml:space="preserve"> </w:t>
      </w:r>
      <w:r w:rsidR="00C96D5B">
        <w:rPr>
          <w:rFonts w:ascii="JansonTextLT-Roman" w:hAnsi="JansonTextLT-Roman" w:cs="JansonTextLT-Roman"/>
          <w:sz w:val="24"/>
          <w:szCs w:val="24"/>
        </w:rPr>
        <w:t xml:space="preserve">in situ hybridization (ISH) </w:t>
      </w:r>
      <w:r w:rsidR="003F4D74" w:rsidRPr="000A0339">
        <w:rPr>
          <w:rFonts w:ascii="JansonTextLT-Roman" w:hAnsi="JansonTextLT-Roman" w:cs="JansonTextLT-Roman"/>
          <w:sz w:val="24"/>
          <w:szCs w:val="24"/>
        </w:rPr>
        <w:t>,</w:t>
      </w:r>
      <w:r w:rsidR="00C96D5B">
        <w:rPr>
          <w:rFonts w:ascii="JansonTextLT-Roman" w:hAnsi="JansonTextLT-Roman" w:cs="JansonTextLT-Roman"/>
          <w:sz w:val="24"/>
          <w:szCs w:val="24"/>
        </w:rPr>
        <w:t xml:space="preserve"> microarray</w:t>
      </w:r>
      <w:r w:rsidR="00F53613" w:rsidRPr="000A0339">
        <w:rPr>
          <w:rFonts w:ascii="JansonTextLT-Roman" w:hAnsi="JansonTextLT-Roman" w:cs="JansonTextLT-Roman"/>
          <w:sz w:val="24"/>
          <w:szCs w:val="24"/>
        </w:rPr>
        <w:t xml:space="preserve">, </w:t>
      </w:r>
      <w:r w:rsidR="003F4D74" w:rsidRPr="000A0339">
        <w:rPr>
          <w:rFonts w:ascii="JansonTextLT-Roman" w:hAnsi="JansonTextLT-Roman" w:cs="JansonTextLT-Roman"/>
          <w:sz w:val="24"/>
          <w:szCs w:val="24"/>
        </w:rPr>
        <w:t>the profiling method of flow cytometric miRNA ex</w:t>
      </w:r>
      <w:r w:rsidR="00C96D5B">
        <w:rPr>
          <w:rFonts w:ascii="JansonTextLT-Roman" w:hAnsi="JansonTextLT-Roman" w:cs="JansonTextLT-Roman"/>
          <w:sz w:val="24"/>
          <w:szCs w:val="24"/>
        </w:rPr>
        <w:t>pression that is bead based</w:t>
      </w:r>
      <w:r w:rsidR="003F4D74" w:rsidRPr="000A0339">
        <w:rPr>
          <w:rFonts w:ascii="JansonTextLT-Roman" w:hAnsi="JansonTextLT-Roman" w:cs="JansonTextLT-Roman"/>
          <w:sz w:val="24"/>
          <w:szCs w:val="24"/>
        </w:rPr>
        <w:t>, and finaly RT-PCR (20-23) to prove that in BC, miR-21 is up-regulated both in in vitro and in vivo. And a preliminary study about miR-21 overexpression in BC tissue has been taken (1,21,24-26).</w:t>
      </w:r>
      <w:r w:rsidR="00702496" w:rsidRPr="000A0339">
        <w:rPr>
          <w:rFonts w:ascii="JansonTextLT-Roman" w:hAnsi="JansonTextLT-Roman" w:cs="JansonTextLT-Roman"/>
          <w:sz w:val="24"/>
          <w:szCs w:val="24"/>
        </w:rPr>
        <w:t xml:space="preserve"> the conclusion of the study was that miR-21 expression is correlated with pathological and clinical variables in BC tissues, and it is expression was higher</w:t>
      </w:r>
      <w:r w:rsidR="00C96D5B">
        <w:rPr>
          <w:rFonts w:ascii="JansonTextLT-Roman" w:hAnsi="JansonTextLT-Roman" w:cs="JansonTextLT-Roman"/>
          <w:sz w:val="24"/>
          <w:szCs w:val="24"/>
        </w:rPr>
        <w:t xml:space="preserve"> than normal breast tissues [12]</w:t>
      </w:r>
      <w:r w:rsidR="00702496" w:rsidRPr="000A0339">
        <w:rPr>
          <w:rFonts w:ascii="JansonTextLT-Roman" w:hAnsi="JansonTextLT-Roman" w:cs="JansonTextLT-Roman"/>
          <w:sz w:val="24"/>
          <w:szCs w:val="24"/>
        </w:rPr>
        <w:t>. Yet the study avoided the discussion of practical value of this finding in diagnosis of BC.</w:t>
      </w:r>
      <w:r w:rsidR="00822B91" w:rsidRPr="000A0339">
        <w:rPr>
          <w:rFonts w:ascii="JansonTextLT-Roman" w:hAnsi="JansonTextLT-Roman" w:cs="JansonTextLT-Roman"/>
          <w:sz w:val="24"/>
          <w:szCs w:val="24"/>
        </w:rPr>
        <w:t xml:space="preserve"> In addition to the fact, that breast tissue was the center of previous studies, and little was mentioned about miR-21 serum levels, which is the focus of our study. miR-21 serum expression levels in BC patients was evaluated </w:t>
      </w:r>
      <w:r w:rsidR="00C93824" w:rsidRPr="000A0339">
        <w:rPr>
          <w:rFonts w:ascii="JansonTextLT-Roman" w:hAnsi="JansonTextLT-Roman" w:cs="JansonTextLT-Roman"/>
          <w:sz w:val="24"/>
          <w:szCs w:val="24"/>
        </w:rPr>
        <w:t xml:space="preserve">using stem-loop real-time RT-PCR which is based on SYBR-Green, and addressed the application of miR-21 as a diagnostic and monitoring marker in BC patients. </w:t>
      </w:r>
      <w:r w:rsidR="00123022" w:rsidRPr="000A0339">
        <w:rPr>
          <w:rFonts w:ascii="JansonTextLT-Roman" w:hAnsi="JansonTextLT-Roman" w:cs="JansonTextLT-Roman"/>
          <w:sz w:val="24"/>
          <w:szCs w:val="24"/>
        </w:rPr>
        <w:t>The miR-21 expression level was (3.39) times higher in BC patients, which is statistically significant (P&lt;0.001)</w:t>
      </w:r>
      <w:r w:rsidR="00C04767" w:rsidRPr="000A0339">
        <w:rPr>
          <w:rFonts w:ascii="JansonTextLT-Roman" w:hAnsi="JansonTextLT-Roman" w:cs="JansonTextLT-Roman"/>
          <w:sz w:val="24"/>
          <w:szCs w:val="24"/>
        </w:rPr>
        <w:t>. Moreover in the diagnosis of BC, the miR-21 has demonstrated sensitivity and specificity of 87.6% and 87.3% respectively, which shines in compari</w:t>
      </w:r>
      <w:r w:rsidR="005D025A" w:rsidRPr="000A0339">
        <w:rPr>
          <w:rFonts w:ascii="JansonTextLT-Roman" w:hAnsi="JansonTextLT-Roman" w:cs="JansonTextLT-Roman"/>
          <w:sz w:val="24"/>
          <w:szCs w:val="24"/>
        </w:rPr>
        <w:t>son to traditional marker's sensitivity of CEA and CA153, that were merely 15.73% and 22.47%. our study also showed that there no correlation between clinical stages and miR-21 serum expression, as well as no correlation between hormone receptor statuses (Progesterone receptor and Estrogen  receptor ) and miR-21 expression. Similar results was r</w:t>
      </w:r>
      <w:r w:rsidR="00C96D5B">
        <w:rPr>
          <w:rFonts w:ascii="JansonTextLT-Roman" w:hAnsi="JansonTextLT-Roman" w:cs="JansonTextLT-Roman"/>
          <w:sz w:val="24"/>
          <w:szCs w:val="24"/>
        </w:rPr>
        <w:t>eported by other studies [11]</w:t>
      </w:r>
      <w:r w:rsidR="005D025A" w:rsidRPr="000A0339">
        <w:rPr>
          <w:rFonts w:ascii="JansonTextLT-Roman" w:hAnsi="JansonTextLT-Roman" w:cs="JansonTextLT-Roman"/>
          <w:sz w:val="24"/>
          <w:szCs w:val="24"/>
        </w:rPr>
        <w:t>.</w:t>
      </w:r>
    </w:p>
    <w:p w:rsidR="005D025A" w:rsidRPr="000A0339" w:rsidRDefault="005D025A" w:rsidP="005D025A">
      <w:pPr>
        <w:autoSpaceDE w:val="0"/>
        <w:autoSpaceDN w:val="0"/>
        <w:bidi w:val="0"/>
        <w:adjustRightInd w:val="0"/>
        <w:spacing w:after="0" w:line="240" w:lineRule="auto"/>
        <w:rPr>
          <w:rFonts w:ascii="JansonTextLT-Roman" w:hAnsi="JansonTextLT-Roman" w:cs="JansonTextLT-Roman"/>
          <w:sz w:val="24"/>
          <w:szCs w:val="24"/>
        </w:rPr>
      </w:pPr>
      <w:r w:rsidRPr="000A0339">
        <w:rPr>
          <w:rFonts w:ascii="JansonTextLT-Roman" w:hAnsi="JansonTextLT-Roman" w:cs="JansonTextLT-Roman"/>
          <w:sz w:val="24"/>
          <w:szCs w:val="24"/>
        </w:rPr>
        <w:t xml:space="preserve">In conclusion, the new serum marker miR-21 topples traditional serum markers like CEA and CA153 in sensitivity, which can improve prognosis of BC by allowing </w:t>
      </w:r>
      <w:r w:rsidRPr="000A0339">
        <w:rPr>
          <w:rFonts w:ascii="JansonTextLT-Roman" w:hAnsi="JansonTextLT-Roman" w:cs="JansonTextLT-Roman"/>
          <w:sz w:val="24"/>
          <w:szCs w:val="24"/>
        </w:rPr>
        <w:lastRenderedPageBreak/>
        <w:t>earlier diagnostic sensitivity. miR-21 can be addressed as a potential early stage BC serum tumor marker. We will have a follow up study to this preliminary study, where we will have more in-depth analysi</w:t>
      </w:r>
      <w:r w:rsidR="00A309AB" w:rsidRPr="000A0339">
        <w:rPr>
          <w:rFonts w:ascii="JansonTextLT-Roman" w:hAnsi="JansonTextLT-Roman" w:cs="JansonTextLT-Roman"/>
          <w:sz w:val="24"/>
          <w:szCs w:val="24"/>
        </w:rPr>
        <w:t>s and increase the sample size, hopefully becoming a good basis</w:t>
      </w:r>
      <w:r w:rsidRPr="000A0339">
        <w:rPr>
          <w:rFonts w:ascii="JansonTextLT-Roman" w:hAnsi="JansonTextLT-Roman" w:cs="JansonTextLT-Roman"/>
          <w:sz w:val="24"/>
          <w:szCs w:val="24"/>
        </w:rPr>
        <w:t xml:space="preserve"> </w:t>
      </w:r>
      <w:r w:rsidR="00A309AB" w:rsidRPr="000A0339">
        <w:rPr>
          <w:rFonts w:ascii="JansonTextLT-Roman" w:hAnsi="JansonTextLT-Roman" w:cs="JansonTextLT-Roman"/>
          <w:sz w:val="24"/>
          <w:szCs w:val="24"/>
        </w:rPr>
        <w:t>for miR-21 as a diagnostic tool in BC</w:t>
      </w:r>
      <w:r w:rsidR="00C96D5B">
        <w:rPr>
          <w:rFonts w:ascii="JansonTextLT-Roman" w:hAnsi="JansonTextLT-Roman" w:cs="JansonTextLT-Roman"/>
          <w:sz w:val="24"/>
          <w:szCs w:val="24"/>
        </w:rPr>
        <w:t xml:space="preserve"> [9]</w:t>
      </w:r>
      <w:r w:rsidR="00A309AB" w:rsidRPr="000A0339">
        <w:rPr>
          <w:rFonts w:ascii="JansonTextLT-Roman" w:hAnsi="JansonTextLT-Roman" w:cs="JansonTextLT-Roman"/>
          <w:sz w:val="24"/>
          <w:szCs w:val="24"/>
        </w:rPr>
        <w:t>.</w:t>
      </w:r>
    </w:p>
    <w:p w:rsidR="005D025A" w:rsidRDefault="001C7D3B" w:rsidP="005D025A">
      <w:pPr>
        <w:autoSpaceDE w:val="0"/>
        <w:autoSpaceDN w:val="0"/>
        <w:bidi w:val="0"/>
        <w:adjustRightInd w:val="0"/>
        <w:spacing w:after="0" w:line="240" w:lineRule="auto"/>
        <w:rPr>
          <w:rFonts w:ascii="JansonTextLT-Roman" w:hAnsi="JansonTextLT-Roman" w:cs="JansonTextLT-Roman"/>
          <w:sz w:val="24"/>
          <w:szCs w:val="24"/>
        </w:rPr>
      </w:pPr>
      <w:r>
        <w:rPr>
          <w:rFonts w:ascii="JansonTextLT-Roman" w:hAnsi="JansonTextLT-Roman" w:cs="JansonTextLT-Roman"/>
          <w:sz w:val="24"/>
          <w:szCs w:val="24"/>
        </w:rPr>
        <w:t xml:space="preserve"> </w:t>
      </w:r>
    </w:p>
    <w:p w:rsidR="001C7D3B" w:rsidRDefault="001C7D3B" w:rsidP="001C7D3B">
      <w:pPr>
        <w:autoSpaceDE w:val="0"/>
        <w:autoSpaceDN w:val="0"/>
        <w:bidi w:val="0"/>
        <w:adjustRightInd w:val="0"/>
        <w:spacing w:after="0" w:line="240" w:lineRule="auto"/>
        <w:rPr>
          <w:rFonts w:ascii="JansonTextLT-Roman" w:hAnsi="JansonTextLT-Roman" w:cs="JansonTextLT-Roman"/>
          <w:sz w:val="24"/>
          <w:szCs w:val="24"/>
        </w:rPr>
      </w:pPr>
    </w:p>
    <w:p w:rsidR="001C7D3B" w:rsidRDefault="001C7D3B" w:rsidP="001C7D3B">
      <w:pPr>
        <w:autoSpaceDE w:val="0"/>
        <w:autoSpaceDN w:val="0"/>
        <w:bidi w:val="0"/>
        <w:adjustRightInd w:val="0"/>
        <w:spacing w:after="0" w:line="240" w:lineRule="auto"/>
        <w:rPr>
          <w:rFonts w:ascii="JansonTextLT-Roman" w:hAnsi="JansonTextLT-Roman" w:cs="JansonTextLT-Roman"/>
          <w:sz w:val="24"/>
          <w:szCs w:val="24"/>
        </w:rPr>
      </w:pPr>
    </w:p>
    <w:p w:rsidR="001C7D3B" w:rsidRDefault="001C7D3B" w:rsidP="001C7D3B">
      <w:pPr>
        <w:autoSpaceDE w:val="0"/>
        <w:autoSpaceDN w:val="0"/>
        <w:bidi w:val="0"/>
        <w:adjustRightInd w:val="0"/>
        <w:spacing w:after="0" w:line="240" w:lineRule="auto"/>
        <w:rPr>
          <w:rFonts w:ascii="JansonTextLT-Roman" w:hAnsi="JansonTextLT-Roman" w:cs="JansonTextLT-Roman"/>
          <w:sz w:val="24"/>
          <w:szCs w:val="24"/>
        </w:rPr>
      </w:pPr>
    </w:p>
    <w:p w:rsidR="001C7D3B" w:rsidRPr="002A0ED4" w:rsidRDefault="001C7D3B" w:rsidP="001C7D3B">
      <w:pPr>
        <w:autoSpaceDE w:val="0"/>
        <w:autoSpaceDN w:val="0"/>
        <w:bidi w:val="0"/>
        <w:adjustRightInd w:val="0"/>
        <w:spacing w:after="0" w:line="240" w:lineRule="auto"/>
        <w:rPr>
          <w:rFonts w:ascii="JansonTextLT-Roman" w:hAnsi="JansonTextLT-Roman" w:cs="JansonTextLT-Roman"/>
          <w:b/>
          <w:bCs/>
          <w:sz w:val="24"/>
          <w:szCs w:val="24"/>
        </w:rPr>
      </w:pPr>
      <w:r w:rsidRPr="002A0ED4">
        <w:rPr>
          <w:rFonts w:ascii="JansonTextLT-Roman" w:hAnsi="JansonTextLT-Roman" w:cs="JansonTextLT-Roman"/>
          <w:b/>
          <w:bCs/>
          <w:sz w:val="24"/>
          <w:szCs w:val="24"/>
        </w:rPr>
        <w:t>References:</w:t>
      </w:r>
    </w:p>
    <w:p w:rsidR="002A0ED4" w:rsidRDefault="002A0ED4" w:rsidP="002A0ED4">
      <w:pPr>
        <w:pStyle w:val="ListParagraph"/>
        <w:numPr>
          <w:ilvl w:val="0"/>
          <w:numId w:val="1"/>
        </w:numPr>
        <w:autoSpaceDE w:val="0"/>
        <w:autoSpaceDN w:val="0"/>
        <w:bidi w:val="0"/>
        <w:adjustRightInd w:val="0"/>
        <w:spacing w:after="0" w:line="240" w:lineRule="auto"/>
        <w:rPr>
          <w:rFonts w:ascii="JansonTextLT-Roman" w:hAnsi="JansonTextLT-Roman" w:cs="JansonTextLT-Roman"/>
          <w:sz w:val="24"/>
          <w:szCs w:val="24"/>
        </w:rPr>
      </w:pPr>
      <w:r w:rsidRPr="002A0ED4">
        <w:rPr>
          <w:rFonts w:ascii="JansonTextLT-Roman" w:hAnsi="JansonTextLT-Roman" w:cs="JansonTextLT-Roman"/>
          <w:sz w:val="24"/>
          <w:szCs w:val="24"/>
        </w:rPr>
        <w:t>Iorio MV, Ferracin M, Liu CG, et al. MicroRNA gene expression deregulation in human breast cancer. Cancer Res 2005;65:7065-70.</w:t>
      </w:r>
    </w:p>
    <w:p w:rsidR="002A0ED4" w:rsidRPr="002A0ED4" w:rsidRDefault="002A0ED4" w:rsidP="002A0ED4">
      <w:pPr>
        <w:pStyle w:val="ListParagraph"/>
        <w:numPr>
          <w:ilvl w:val="0"/>
          <w:numId w:val="1"/>
        </w:numPr>
        <w:autoSpaceDE w:val="0"/>
        <w:autoSpaceDN w:val="0"/>
        <w:bidi w:val="0"/>
        <w:adjustRightInd w:val="0"/>
        <w:spacing w:after="0" w:line="240" w:lineRule="auto"/>
        <w:rPr>
          <w:rFonts w:ascii="JansonTextLT-Roman" w:hAnsi="JansonTextLT-Roman" w:cs="JansonTextLT-Roman"/>
          <w:sz w:val="24"/>
          <w:szCs w:val="24"/>
        </w:rPr>
      </w:pPr>
      <w:r w:rsidRPr="002A0ED4">
        <w:rPr>
          <w:rFonts w:ascii="JansonTextLT-Roman" w:hAnsi="JansonTextLT-Roman" w:cs="JansonTextLT-Roman"/>
          <w:sz w:val="24"/>
          <w:szCs w:val="24"/>
        </w:rPr>
        <w:t>O'Hara SP, Mott JL, Splinter PL, et al. MicroRNAs: key modulators of post-transcriptional gene expression.</w:t>
      </w:r>
      <w:r>
        <w:rPr>
          <w:rFonts w:ascii="JansonTextLT-Roman" w:hAnsi="JansonTextLT-Roman" w:cs="JansonTextLT-Roman"/>
          <w:sz w:val="24"/>
          <w:szCs w:val="24"/>
        </w:rPr>
        <w:t xml:space="preserve"> </w:t>
      </w:r>
      <w:r w:rsidRPr="002A0ED4">
        <w:rPr>
          <w:rFonts w:ascii="JansonTextLT-Roman" w:hAnsi="JansonTextLT-Roman" w:cs="JansonTextLT-Roman"/>
          <w:sz w:val="24"/>
          <w:szCs w:val="24"/>
        </w:rPr>
        <w:t>Gastroenterology 2009;136:17-25.</w:t>
      </w:r>
    </w:p>
    <w:p w:rsidR="002A0ED4" w:rsidRDefault="002A0ED4" w:rsidP="002A0ED4">
      <w:pPr>
        <w:pStyle w:val="ListParagraph"/>
        <w:numPr>
          <w:ilvl w:val="0"/>
          <w:numId w:val="1"/>
        </w:numPr>
        <w:autoSpaceDE w:val="0"/>
        <w:autoSpaceDN w:val="0"/>
        <w:bidi w:val="0"/>
        <w:adjustRightInd w:val="0"/>
        <w:spacing w:after="0" w:line="240" w:lineRule="auto"/>
        <w:rPr>
          <w:rFonts w:ascii="JansonTextLT-Roman" w:hAnsi="JansonTextLT-Roman" w:cs="JansonTextLT-Roman"/>
          <w:sz w:val="24"/>
          <w:szCs w:val="24"/>
        </w:rPr>
      </w:pPr>
      <w:r w:rsidRPr="002A0ED4">
        <w:rPr>
          <w:rFonts w:ascii="JansonTextLT-Roman" w:hAnsi="JansonTextLT-Roman" w:cs="JansonTextLT-Roman"/>
          <w:sz w:val="24"/>
          <w:szCs w:val="24"/>
        </w:rPr>
        <w:t>Chou J, Shahi P, Werb Z. microRNA-mediated</w:t>
      </w:r>
      <w:r>
        <w:rPr>
          <w:rFonts w:ascii="JansonTextLT-Roman" w:hAnsi="JansonTextLT-Roman" w:cs="JansonTextLT-Roman"/>
          <w:sz w:val="24"/>
          <w:szCs w:val="24"/>
        </w:rPr>
        <w:t xml:space="preserve"> </w:t>
      </w:r>
      <w:r w:rsidRPr="002A0ED4">
        <w:rPr>
          <w:rFonts w:ascii="JansonTextLT-Roman" w:hAnsi="JansonTextLT-Roman" w:cs="JansonTextLT-Roman"/>
          <w:sz w:val="24"/>
          <w:szCs w:val="24"/>
        </w:rPr>
        <w:t>regulation of the tumor microenvironment. Cell Cycle</w:t>
      </w:r>
      <w:r>
        <w:rPr>
          <w:rFonts w:ascii="JansonTextLT-Roman" w:hAnsi="JansonTextLT-Roman" w:cs="JansonTextLT-Roman"/>
          <w:sz w:val="24"/>
          <w:szCs w:val="24"/>
        </w:rPr>
        <w:t xml:space="preserve"> </w:t>
      </w:r>
      <w:r w:rsidRPr="002A0ED4">
        <w:rPr>
          <w:rFonts w:ascii="JansonTextLT-Roman" w:hAnsi="JansonTextLT-Roman" w:cs="JansonTextLT-Roman"/>
          <w:sz w:val="24"/>
          <w:szCs w:val="24"/>
        </w:rPr>
        <w:t>2013;12:3262-71.</w:t>
      </w:r>
    </w:p>
    <w:p w:rsidR="002A0ED4" w:rsidRDefault="002A0ED4" w:rsidP="002A0ED4">
      <w:pPr>
        <w:pStyle w:val="ListParagraph"/>
        <w:numPr>
          <w:ilvl w:val="0"/>
          <w:numId w:val="1"/>
        </w:numPr>
        <w:autoSpaceDE w:val="0"/>
        <w:autoSpaceDN w:val="0"/>
        <w:bidi w:val="0"/>
        <w:adjustRightInd w:val="0"/>
        <w:spacing w:after="0" w:line="240" w:lineRule="auto"/>
        <w:rPr>
          <w:rFonts w:ascii="JansonTextLT-Roman" w:hAnsi="JansonTextLT-Roman" w:cs="JansonTextLT-Roman"/>
          <w:sz w:val="24"/>
          <w:szCs w:val="24"/>
        </w:rPr>
      </w:pPr>
      <w:r w:rsidRPr="002A0ED4">
        <w:rPr>
          <w:rFonts w:ascii="JansonTextLT-Roman" w:hAnsi="JansonTextLT-Roman" w:cs="JansonTextLT-Roman"/>
          <w:sz w:val="24"/>
          <w:szCs w:val="24"/>
        </w:rPr>
        <w:t xml:space="preserve"> Zhang B, Pan X, Cobb GP, et al. microRNAs as oncogenes</w:t>
      </w:r>
      <w:r>
        <w:rPr>
          <w:rFonts w:ascii="JansonTextLT-Roman" w:hAnsi="JansonTextLT-Roman" w:cs="JansonTextLT-Roman"/>
          <w:sz w:val="24"/>
          <w:szCs w:val="24"/>
        </w:rPr>
        <w:t xml:space="preserve"> </w:t>
      </w:r>
      <w:r w:rsidRPr="002A0ED4">
        <w:rPr>
          <w:rFonts w:ascii="JansonTextLT-Roman" w:hAnsi="JansonTextLT-Roman" w:cs="JansonTextLT-Roman"/>
          <w:sz w:val="24"/>
          <w:szCs w:val="24"/>
        </w:rPr>
        <w:t>and tumor suppressors. Dev Biol 2007;302:1-12.</w:t>
      </w:r>
    </w:p>
    <w:p w:rsidR="002A0ED4" w:rsidRDefault="002A0ED4" w:rsidP="002A0ED4">
      <w:pPr>
        <w:pStyle w:val="ListParagraph"/>
        <w:numPr>
          <w:ilvl w:val="0"/>
          <w:numId w:val="1"/>
        </w:numPr>
        <w:autoSpaceDE w:val="0"/>
        <w:autoSpaceDN w:val="0"/>
        <w:bidi w:val="0"/>
        <w:adjustRightInd w:val="0"/>
        <w:spacing w:after="0" w:line="240" w:lineRule="auto"/>
        <w:rPr>
          <w:rFonts w:ascii="JansonTextLT-Roman" w:hAnsi="JansonTextLT-Roman" w:cs="JansonTextLT-Roman"/>
          <w:sz w:val="24"/>
          <w:szCs w:val="24"/>
        </w:rPr>
      </w:pPr>
      <w:r w:rsidRPr="002A0ED4">
        <w:rPr>
          <w:rFonts w:ascii="JansonTextLT-Roman" w:hAnsi="JansonTextLT-Roman" w:cs="JansonTextLT-Roman"/>
          <w:sz w:val="24"/>
          <w:szCs w:val="24"/>
        </w:rPr>
        <w:t>Zheng DL, Haddadin S, Wang Y, et al. Plasma microRNAs</w:t>
      </w:r>
      <w:r>
        <w:rPr>
          <w:rFonts w:ascii="JansonTextLT-Roman" w:hAnsi="JansonTextLT-Roman" w:cs="JansonTextLT-Roman"/>
          <w:sz w:val="24"/>
          <w:szCs w:val="24"/>
        </w:rPr>
        <w:t xml:space="preserve"> </w:t>
      </w:r>
      <w:r w:rsidRPr="002A0ED4">
        <w:rPr>
          <w:rFonts w:ascii="JansonTextLT-Roman" w:hAnsi="JansonTextLT-Roman" w:cs="JansonTextLT-Roman"/>
          <w:sz w:val="24"/>
          <w:szCs w:val="24"/>
        </w:rPr>
        <w:t>as novel biomarkers for early detection of lung cancer. Int</w:t>
      </w:r>
      <w:r>
        <w:rPr>
          <w:rFonts w:ascii="JansonTextLT-Roman" w:hAnsi="JansonTextLT-Roman" w:cs="JansonTextLT-Roman"/>
          <w:sz w:val="24"/>
          <w:szCs w:val="24"/>
        </w:rPr>
        <w:t xml:space="preserve"> </w:t>
      </w:r>
      <w:r w:rsidRPr="002A0ED4">
        <w:rPr>
          <w:rFonts w:ascii="JansonTextLT-Roman" w:hAnsi="JansonTextLT-Roman" w:cs="JansonTextLT-Roman"/>
          <w:sz w:val="24"/>
          <w:szCs w:val="24"/>
        </w:rPr>
        <w:t>J Clin Exp Pathol 2011;4:575-86.</w:t>
      </w:r>
    </w:p>
    <w:p w:rsidR="002A0ED4" w:rsidRPr="002A0ED4" w:rsidRDefault="002A0ED4" w:rsidP="002A0ED4">
      <w:pPr>
        <w:pStyle w:val="ListParagraph"/>
        <w:numPr>
          <w:ilvl w:val="0"/>
          <w:numId w:val="1"/>
        </w:numPr>
        <w:autoSpaceDE w:val="0"/>
        <w:autoSpaceDN w:val="0"/>
        <w:bidi w:val="0"/>
        <w:adjustRightInd w:val="0"/>
        <w:spacing w:after="0" w:line="240" w:lineRule="auto"/>
        <w:rPr>
          <w:rFonts w:ascii="JansonTextLT-Roman" w:hAnsi="JansonTextLT-Roman" w:cs="JansonTextLT-Roman"/>
          <w:sz w:val="24"/>
          <w:szCs w:val="24"/>
        </w:rPr>
      </w:pPr>
      <w:r w:rsidRPr="002A0ED4">
        <w:rPr>
          <w:rFonts w:ascii="JansonTextLT-Roman" w:hAnsi="JansonTextLT-Roman" w:cs="JansonTextLT-Roman"/>
          <w:sz w:val="24"/>
          <w:szCs w:val="24"/>
        </w:rPr>
        <w:t xml:space="preserve"> Samy N, Ragab HM, El Maksoud NA, et al. Prognostic</w:t>
      </w:r>
      <w:r>
        <w:rPr>
          <w:rFonts w:ascii="JansonTextLT-Roman" w:hAnsi="JansonTextLT-Roman" w:cs="JansonTextLT-Roman"/>
          <w:sz w:val="24"/>
          <w:szCs w:val="24"/>
        </w:rPr>
        <w:t xml:space="preserve"> </w:t>
      </w:r>
      <w:r w:rsidRPr="002A0ED4">
        <w:rPr>
          <w:rFonts w:ascii="JansonTextLT-Roman" w:hAnsi="JansonTextLT-Roman" w:cs="JansonTextLT-Roman"/>
          <w:sz w:val="24"/>
          <w:szCs w:val="24"/>
        </w:rPr>
        <w:t>significance of serum Her2/neu, BCL2, CA15-3 and</w:t>
      </w:r>
      <w:r>
        <w:rPr>
          <w:rFonts w:ascii="JansonTextLT-Roman" w:hAnsi="JansonTextLT-Roman" w:cs="JansonTextLT-Roman"/>
          <w:sz w:val="24"/>
          <w:szCs w:val="24"/>
        </w:rPr>
        <w:t xml:space="preserve"> </w:t>
      </w:r>
      <w:r w:rsidRPr="002A0ED4">
        <w:rPr>
          <w:rFonts w:ascii="JansonTextLT-Roman" w:hAnsi="JansonTextLT-Roman" w:cs="JansonTextLT-Roman"/>
          <w:sz w:val="24"/>
          <w:szCs w:val="24"/>
        </w:rPr>
        <w:t>CEA in breast cancer patients: A short follow-up. Cancer</w:t>
      </w:r>
      <w:r>
        <w:rPr>
          <w:rFonts w:ascii="JansonTextLT-Roman" w:hAnsi="JansonTextLT-Roman" w:cs="JansonTextLT-Roman"/>
          <w:sz w:val="24"/>
          <w:szCs w:val="24"/>
        </w:rPr>
        <w:t xml:space="preserve"> </w:t>
      </w:r>
      <w:r w:rsidRPr="002A0ED4">
        <w:rPr>
          <w:rFonts w:ascii="JansonTextLT-Roman" w:hAnsi="JansonTextLT-Roman" w:cs="JansonTextLT-Roman"/>
          <w:sz w:val="24"/>
          <w:szCs w:val="24"/>
        </w:rPr>
        <w:t>Biomark 2010;6:63-72.</w:t>
      </w:r>
    </w:p>
    <w:p w:rsidR="002A0ED4" w:rsidRDefault="002A0ED4" w:rsidP="002A0ED4">
      <w:pPr>
        <w:pStyle w:val="ListParagraph"/>
        <w:numPr>
          <w:ilvl w:val="0"/>
          <w:numId w:val="1"/>
        </w:numPr>
        <w:autoSpaceDE w:val="0"/>
        <w:autoSpaceDN w:val="0"/>
        <w:bidi w:val="0"/>
        <w:adjustRightInd w:val="0"/>
        <w:spacing w:after="0" w:line="240" w:lineRule="auto"/>
        <w:rPr>
          <w:rFonts w:ascii="JansonTextLT-Roman" w:hAnsi="JansonTextLT-Roman" w:cs="JansonTextLT-Roman"/>
          <w:sz w:val="24"/>
          <w:szCs w:val="24"/>
        </w:rPr>
      </w:pPr>
      <w:r w:rsidRPr="002A0ED4">
        <w:rPr>
          <w:rFonts w:ascii="JansonTextLT-Roman" w:hAnsi="JansonTextLT-Roman" w:cs="JansonTextLT-Roman"/>
          <w:sz w:val="24"/>
          <w:szCs w:val="24"/>
        </w:rPr>
        <w:t>Wu ZC, Zhai HS, Yan CL, et al. The value of</w:t>
      </w:r>
      <w:r>
        <w:rPr>
          <w:rFonts w:ascii="JansonTextLT-Roman" w:hAnsi="JansonTextLT-Roman" w:cs="JansonTextLT-Roman"/>
          <w:sz w:val="24"/>
          <w:szCs w:val="24"/>
        </w:rPr>
        <w:t xml:space="preserve"> </w:t>
      </w:r>
      <w:r w:rsidRPr="002A0ED4">
        <w:rPr>
          <w:rFonts w:ascii="JansonTextLT-Roman" w:hAnsi="JansonTextLT-Roman" w:cs="JansonTextLT-Roman"/>
          <w:sz w:val="24"/>
          <w:szCs w:val="24"/>
        </w:rPr>
        <w:t>serum CA15-3, CEA in the early diagnosis of breast</w:t>
      </w:r>
      <w:r>
        <w:rPr>
          <w:rFonts w:ascii="JansonTextLT-Roman" w:hAnsi="JansonTextLT-Roman" w:cs="JansonTextLT-Roman"/>
          <w:sz w:val="24"/>
          <w:szCs w:val="24"/>
        </w:rPr>
        <w:t xml:space="preserve"> </w:t>
      </w:r>
      <w:r w:rsidRPr="002A0ED4">
        <w:rPr>
          <w:rFonts w:ascii="JansonTextLT-Roman" w:hAnsi="JansonTextLT-Roman" w:cs="JansonTextLT-Roman"/>
          <w:sz w:val="24"/>
          <w:szCs w:val="24"/>
        </w:rPr>
        <w:t>cancer. Qiqihar Yi Xue Yuan Xue Bao (in Chinese)</w:t>
      </w:r>
      <w:r>
        <w:rPr>
          <w:rFonts w:ascii="JansonTextLT-Roman" w:hAnsi="JansonTextLT-Roman" w:cs="JansonTextLT-Roman"/>
          <w:sz w:val="24"/>
          <w:szCs w:val="24"/>
        </w:rPr>
        <w:t xml:space="preserve"> </w:t>
      </w:r>
      <w:r w:rsidRPr="002A0ED4">
        <w:rPr>
          <w:rFonts w:ascii="JansonTextLT-Roman" w:hAnsi="JansonTextLT-Roman" w:cs="JansonTextLT-Roman"/>
          <w:sz w:val="24"/>
          <w:szCs w:val="24"/>
        </w:rPr>
        <w:t>2010;31:1849-50.</w:t>
      </w:r>
    </w:p>
    <w:p w:rsidR="002A0ED4" w:rsidRPr="002A0ED4" w:rsidRDefault="002A0ED4" w:rsidP="002A0ED4">
      <w:pPr>
        <w:pStyle w:val="ListParagraph"/>
        <w:numPr>
          <w:ilvl w:val="0"/>
          <w:numId w:val="1"/>
        </w:numPr>
        <w:autoSpaceDE w:val="0"/>
        <w:autoSpaceDN w:val="0"/>
        <w:bidi w:val="0"/>
        <w:adjustRightInd w:val="0"/>
        <w:spacing w:after="0" w:line="240" w:lineRule="auto"/>
        <w:rPr>
          <w:rFonts w:ascii="JansonTextLT-Roman" w:hAnsi="JansonTextLT-Roman" w:cs="JansonTextLT-Roman"/>
          <w:sz w:val="24"/>
          <w:szCs w:val="24"/>
        </w:rPr>
      </w:pPr>
      <w:r w:rsidRPr="002A0ED4">
        <w:rPr>
          <w:rFonts w:ascii="JansonTextLT-Roman" w:hAnsi="JansonTextLT-Roman" w:cs="JansonTextLT-Roman"/>
          <w:sz w:val="24"/>
          <w:szCs w:val="24"/>
        </w:rPr>
        <w:t>Song EW. Small molecule RNA for basic research and</w:t>
      </w:r>
      <w:r>
        <w:rPr>
          <w:rFonts w:ascii="JansonTextLT-Roman" w:hAnsi="JansonTextLT-Roman" w:cs="JansonTextLT-Roman"/>
          <w:sz w:val="24"/>
          <w:szCs w:val="24"/>
        </w:rPr>
        <w:t xml:space="preserve"> </w:t>
      </w:r>
      <w:r w:rsidRPr="002A0ED4">
        <w:rPr>
          <w:rFonts w:ascii="JansonTextLT-Roman" w:hAnsi="JansonTextLT-Roman" w:cs="JansonTextLT-Roman"/>
          <w:sz w:val="24"/>
          <w:szCs w:val="24"/>
        </w:rPr>
        <w:t>clinical applications. Beijing: Science and Technology</w:t>
      </w:r>
      <w:r>
        <w:rPr>
          <w:rFonts w:ascii="JansonTextLT-Roman" w:hAnsi="JansonTextLT-Roman" w:cs="JansonTextLT-Roman"/>
          <w:sz w:val="24"/>
          <w:szCs w:val="24"/>
        </w:rPr>
        <w:t xml:space="preserve"> </w:t>
      </w:r>
      <w:r w:rsidRPr="002A0ED4">
        <w:rPr>
          <w:rFonts w:ascii="JansonTextLT-Roman" w:hAnsi="JansonTextLT-Roman" w:cs="JansonTextLT-Roman"/>
          <w:sz w:val="24"/>
          <w:szCs w:val="24"/>
        </w:rPr>
        <w:t>Press, 2007:115-20.</w:t>
      </w:r>
    </w:p>
    <w:p w:rsidR="002A0ED4" w:rsidRPr="002A0ED4" w:rsidRDefault="002A0ED4" w:rsidP="002A0ED4">
      <w:pPr>
        <w:pStyle w:val="ListParagraph"/>
        <w:numPr>
          <w:ilvl w:val="0"/>
          <w:numId w:val="1"/>
        </w:numPr>
        <w:autoSpaceDE w:val="0"/>
        <w:autoSpaceDN w:val="0"/>
        <w:bidi w:val="0"/>
        <w:adjustRightInd w:val="0"/>
        <w:spacing w:after="0" w:line="240" w:lineRule="auto"/>
        <w:rPr>
          <w:rFonts w:ascii="JansonTextLT-Roman" w:hAnsi="JansonTextLT-Roman" w:cs="JansonTextLT-Roman"/>
          <w:sz w:val="24"/>
          <w:szCs w:val="24"/>
        </w:rPr>
      </w:pPr>
      <w:r w:rsidRPr="002A0ED4">
        <w:rPr>
          <w:rFonts w:ascii="JansonTextLT-Roman" w:hAnsi="JansonTextLT-Roman" w:cs="JansonTextLT-Roman"/>
          <w:sz w:val="24"/>
          <w:szCs w:val="24"/>
        </w:rPr>
        <w:t>Si H, Sun X, Chen Y, et al. Circulating microRNA-92a</w:t>
      </w:r>
      <w:r>
        <w:rPr>
          <w:rFonts w:ascii="JansonTextLT-Roman" w:hAnsi="JansonTextLT-Roman" w:cs="JansonTextLT-Roman"/>
          <w:sz w:val="24"/>
          <w:szCs w:val="24"/>
        </w:rPr>
        <w:t xml:space="preserve"> </w:t>
      </w:r>
      <w:r w:rsidRPr="002A0ED4">
        <w:rPr>
          <w:rFonts w:ascii="JansonTextLT-Roman" w:hAnsi="JansonTextLT-Roman" w:cs="JansonTextLT-Roman"/>
          <w:sz w:val="24"/>
          <w:szCs w:val="24"/>
        </w:rPr>
        <w:t>and microRNA-21 as novel minimally invasive biomarkers</w:t>
      </w:r>
      <w:r>
        <w:rPr>
          <w:rFonts w:ascii="JansonTextLT-Roman" w:hAnsi="JansonTextLT-Roman" w:cs="JansonTextLT-Roman"/>
          <w:sz w:val="24"/>
          <w:szCs w:val="24"/>
        </w:rPr>
        <w:t xml:space="preserve"> </w:t>
      </w:r>
      <w:r w:rsidRPr="002A0ED4">
        <w:rPr>
          <w:rFonts w:ascii="JansonTextLT-Roman" w:hAnsi="JansonTextLT-Roman" w:cs="JansonTextLT-Roman"/>
          <w:sz w:val="24"/>
          <w:szCs w:val="24"/>
        </w:rPr>
        <w:t>for primary breast cancer. J Cancer Res Clin Oncol</w:t>
      </w:r>
      <w:r>
        <w:rPr>
          <w:rFonts w:ascii="JansonTextLT-Roman" w:hAnsi="JansonTextLT-Roman" w:cs="JansonTextLT-Roman"/>
          <w:sz w:val="24"/>
          <w:szCs w:val="24"/>
        </w:rPr>
        <w:t xml:space="preserve"> </w:t>
      </w:r>
      <w:r w:rsidRPr="002A0ED4">
        <w:rPr>
          <w:rFonts w:ascii="JansonTextLT-Roman" w:hAnsi="JansonTextLT-Roman" w:cs="JansonTextLT-Roman"/>
          <w:sz w:val="24"/>
          <w:szCs w:val="24"/>
        </w:rPr>
        <w:t>2013;139:223-9.</w:t>
      </w:r>
    </w:p>
    <w:p w:rsidR="002A0ED4" w:rsidRDefault="002A0ED4" w:rsidP="002A0ED4">
      <w:pPr>
        <w:pStyle w:val="ListParagraph"/>
        <w:numPr>
          <w:ilvl w:val="0"/>
          <w:numId w:val="1"/>
        </w:numPr>
        <w:autoSpaceDE w:val="0"/>
        <w:autoSpaceDN w:val="0"/>
        <w:bidi w:val="0"/>
        <w:adjustRightInd w:val="0"/>
        <w:spacing w:after="0" w:line="240" w:lineRule="auto"/>
        <w:rPr>
          <w:rFonts w:ascii="JansonTextLT-Roman" w:hAnsi="JansonTextLT-Roman" w:cs="JansonTextLT-Roman"/>
          <w:sz w:val="24"/>
          <w:szCs w:val="24"/>
        </w:rPr>
      </w:pPr>
      <w:r w:rsidRPr="002A0ED4">
        <w:rPr>
          <w:rFonts w:ascii="JansonTextLT-Roman" w:hAnsi="JansonTextLT-Roman" w:cs="JansonTextLT-Roman"/>
          <w:sz w:val="24"/>
          <w:szCs w:val="24"/>
        </w:rPr>
        <w:t>10. Fujita S, Ito T, Mizutani T, et al. miR-21 Gene expression</w:t>
      </w:r>
      <w:r>
        <w:rPr>
          <w:rFonts w:ascii="JansonTextLT-Roman" w:hAnsi="JansonTextLT-Roman" w:cs="JansonTextLT-Roman"/>
          <w:sz w:val="24"/>
          <w:szCs w:val="24"/>
        </w:rPr>
        <w:t xml:space="preserve"> </w:t>
      </w:r>
      <w:r w:rsidRPr="002A0ED4">
        <w:rPr>
          <w:rFonts w:ascii="JansonTextLT-Roman" w:hAnsi="JansonTextLT-Roman" w:cs="JansonTextLT-Roman"/>
          <w:sz w:val="24"/>
          <w:szCs w:val="24"/>
        </w:rPr>
        <w:t>triggered by AP-1 is sustained through a double-negative</w:t>
      </w:r>
      <w:r>
        <w:rPr>
          <w:rFonts w:ascii="JansonTextLT-Roman" w:hAnsi="JansonTextLT-Roman" w:cs="JansonTextLT-Roman"/>
          <w:sz w:val="24"/>
          <w:szCs w:val="24"/>
        </w:rPr>
        <w:t xml:space="preserve"> </w:t>
      </w:r>
      <w:r w:rsidRPr="002A0ED4">
        <w:rPr>
          <w:rFonts w:ascii="JansonTextLT-Roman" w:hAnsi="JansonTextLT-Roman" w:cs="JansonTextLT-Roman"/>
          <w:sz w:val="24"/>
          <w:szCs w:val="24"/>
        </w:rPr>
        <w:t>feedback mechanism. J Mol Biol 2008;378:492-504.</w:t>
      </w:r>
    </w:p>
    <w:p w:rsidR="002A0ED4" w:rsidRPr="002A0ED4" w:rsidRDefault="002A0ED4" w:rsidP="002A0ED4">
      <w:pPr>
        <w:pStyle w:val="ListParagraph"/>
        <w:numPr>
          <w:ilvl w:val="0"/>
          <w:numId w:val="1"/>
        </w:numPr>
        <w:autoSpaceDE w:val="0"/>
        <w:autoSpaceDN w:val="0"/>
        <w:bidi w:val="0"/>
        <w:adjustRightInd w:val="0"/>
        <w:spacing w:after="0" w:line="240" w:lineRule="auto"/>
        <w:rPr>
          <w:rFonts w:ascii="JansonTextLT-Roman" w:hAnsi="JansonTextLT-Roman" w:cs="JansonTextLT-Roman"/>
          <w:sz w:val="24"/>
          <w:szCs w:val="24"/>
        </w:rPr>
      </w:pPr>
      <w:r w:rsidRPr="002A0ED4">
        <w:rPr>
          <w:rFonts w:ascii="JansonTextLT-Roman" w:hAnsi="JansonTextLT-Roman" w:cs="JansonTextLT-Roman"/>
          <w:sz w:val="24"/>
          <w:szCs w:val="24"/>
        </w:rPr>
        <w:t xml:space="preserve"> Slaby O, Svoboda M, Fabian P, et al. Altered expression</w:t>
      </w:r>
      <w:r>
        <w:rPr>
          <w:rFonts w:ascii="JansonTextLT-Roman" w:hAnsi="JansonTextLT-Roman" w:cs="JansonTextLT-Roman"/>
          <w:sz w:val="24"/>
          <w:szCs w:val="24"/>
        </w:rPr>
        <w:t xml:space="preserve"> </w:t>
      </w:r>
      <w:r w:rsidRPr="002A0ED4">
        <w:rPr>
          <w:rFonts w:ascii="JansonTextLT-Roman" w:hAnsi="JansonTextLT-Roman" w:cs="JansonTextLT-Roman"/>
          <w:sz w:val="24"/>
          <w:szCs w:val="24"/>
        </w:rPr>
        <w:t>of miR-21, miR-31, miR-143 and miR-145 is related to</w:t>
      </w:r>
      <w:r>
        <w:rPr>
          <w:rFonts w:ascii="JansonTextLT-Roman" w:hAnsi="JansonTextLT-Roman" w:cs="JansonTextLT-Roman"/>
          <w:sz w:val="24"/>
          <w:szCs w:val="24"/>
        </w:rPr>
        <w:t xml:space="preserve"> </w:t>
      </w:r>
      <w:r w:rsidRPr="002A0ED4">
        <w:rPr>
          <w:rFonts w:ascii="JansonTextLT-Roman" w:hAnsi="JansonTextLT-Roman" w:cs="JansonTextLT-Roman"/>
          <w:sz w:val="24"/>
          <w:szCs w:val="24"/>
        </w:rPr>
        <w:t>clinicopathologic features of colorectal cancer. Oncology</w:t>
      </w:r>
      <w:r>
        <w:rPr>
          <w:rFonts w:ascii="JansonTextLT-Roman" w:hAnsi="JansonTextLT-Roman" w:cs="JansonTextLT-Roman"/>
          <w:sz w:val="24"/>
          <w:szCs w:val="24"/>
        </w:rPr>
        <w:t xml:space="preserve"> </w:t>
      </w:r>
      <w:r w:rsidRPr="002A0ED4">
        <w:rPr>
          <w:rFonts w:ascii="JansonTextLT-Roman" w:hAnsi="JansonTextLT-Roman" w:cs="JansonTextLT-Roman"/>
          <w:sz w:val="24"/>
          <w:szCs w:val="24"/>
        </w:rPr>
        <w:t>2008;72:397-402.</w:t>
      </w:r>
    </w:p>
    <w:p w:rsidR="002A0ED4" w:rsidRPr="002A0ED4" w:rsidRDefault="002A0ED4" w:rsidP="002A0ED4">
      <w:pPr>
        <w:pStyle w:val="ListParagraph"/>
        <w:numPr>
          <w:ilvl w:val="0"/>
          <w:numId w:val="1"/>
        </w:numPr>
        <w:autoSpaceDE w:val="0"/>
        <w:autoSpaceDN w:val="0"/>
        <w:bidi w:val="0"/>
        <w:adjustRightInd w:val="0"/>
        <w:spacing w:after="0" w:line="240" w:lineRule="auto"/>
        <w:rPr>
          <w:rFonts w:ascii="JansonTextLT-Roman" w:hAnsi="JansonTextLT-Roman" w:cs="JansonTextLT-Roman"/>
          <w:sz w:val="24"/>
          <w:szCs w:val="24"/>
        </w:rPr>
      </w:pPr>
      <w:r w:rsidRPr="002A0ED4">
        <w:rPr>
          <w:rFonts w:ascii="JansonTextLT-Roman" w:hAnsi="JansonTextLT-Roman" w:cs="JansonTextLT-Roman"/>
          <w:sz w:val="24"/>
          <w:szCs w:val="24"/>
        </w:rPr>
        <w:t>Schetter AJ, Leung SY, Sohn JJ, et al. MicroRNA</w:t>
      </w:r>
      <w:r>
        <w:rPr>
          <w:rFonts w:ascii="JansonTextLT-Roman" w:hAnsi="JansonTextLT-Roman" w:cs="JansonTextLT-Roman"/>
          <w:sz w:val="24"/>
          <w:szCs w:val="24"/>
        </w:rPr>
        <w:t xml:space="preserve"> </w:t>
      </w:r>
      <w:r w:rsidRPr="002A0ED4">
        <w:rPr>
          <w:rFonts w:ascii="JansonTextLT-Roman" w:hAnsi="JansonTextLT-Roman" w:cs="JansonTextLT-Roman"/>
          <w:sz w:val="24"/>
          <w:szCs w:val="24"/>
        </w:rPr>
        <w:t>expression profiles associated with prognosis and</w:t>
      </w:r>
      <w:r>
        <w:rPr>
          <w:rFonts w:ascii="JansonTextLT-Roman" w:hAnsi="JansonTextLT-Roman" w:cs="JansonTextLT-Roman"/>
          <w:sz w:val="24"/>
          <w:szCs w:val="24"/>
        </w:rPr>
        <w:t xml:space="preserve"> </w:t>
      </w:r>
      <w:r w:rsidRPr="002A0ED4">
        <w:rPr>
          <w:rFonts w:ascii="JansonTextLT-Roman" w:hAnsi="JansonTextLT-Roman" w:cs="JansonTextLT-Roman"/>
          <w:sz w:val="24"/>
          <w:szCs w:val="24"/>
        </w:rPr>
        <w:t>therapeutic outcome in colon adenocarcinoma. JAMA</w:t>
      </w:r>
      <w:r>
        <w:rPr>
          <w:rFonts w:ascii="JansonTextLT-Roman" w:hAnsi="JansonTextLT-Roman" w:cs="JansonTextLT-Roman"/>
          <w:sz w:val="24"/>
          <w:szCs w:val="24"/>
        </w:rPr>
        <w:t xml:space="preserve"> </w:t>
      </w:r>
      <w:r w:rsidRPr="002A0ED4">
        <w:rPr>
          <w:rFonts w:ascii="JansonTextLT-Roman" w:hAnsi="JansonTextLT-Roman" w:cs="JansonTextLT-Roman"/>
          <w:sz w:val="24"/>
          <w:szCs w:val="24"/>
        </w:rPr>
        <w:t>2008;299:425-36.</w:t>
      </w:r>
    </w:p>
    <w:p w:rsidR="002A0ED4" w:rsidRPr="002A0ED4" w:rsidRDefault="002A0ED4" w:rsidP="002A0ED4">
      <w:pPr>
        <w:pStyle w:val="ListParagraph"/>
        <w:numPr>
          <w:ilvl w:val="0"/>
          <w:numId w:val="1"/>
        </w:numPr>
        <w:autoSpaceDE w:val="0"/>
        <w:autoSpaceDN w:val="0"/>
        <w:bidi w:val="0"/>
        <w:adjustRightInd w:val="0"/>
        <w:spacing w:after="0" w:line="240" w:lineRule="auto"/>
        <w:rPr>
          <w:rFonts w:ascii="JansonTextLT-Roman" w:hAnsi="JansonTextLT-Roman" w:cs="JansonTextLT-Roman"/>
          <w:sz w:val="24"/>
          <w:szCs w:val="24"/>
        </w:rPr>
      </w:pPr>
      <w:r w:rsidRPr="002A0ED4">
        <w:rPr>
          <w:rFonts w:ascii="JansonTextLT-Roman" w:hAnsi="JansonTextLT-Roman" w:cs="JansonTextLT-Roman"/>
          <w:sz w:val="24"/>
          <w:szCs w:val="24"/>
        </w:rPr>
        <w:t>Yanaihara N, Caplen N, Bowman E, et al. Unique</w:t>
      </w:r>
      <w:r>
        <w:rPr>
          <w:rFonts w:ascii="JansonTextLT-Roman" w:hAnsi="JansonTextLT-Roman" w:cs="JansonTextLT-Roman"/>
          <w:sz w:val="24"/>
          <w:szCs w:val="24"/>
        </w:rPr>
        <w:t xml:space="preserve"> </w:t>
      </w:r>
      <w:r w:rsidRPr="002A0ED4">
        <w:rPr>
          <w:rFonts w:ascii="JansonTextLT-Roman" w:hAnsi="JansonTextLT-Roman" w:cs="JansonTextLT-Roman"/>
          <w:sz w:val="24"/>
          <w:szCs w:val="24"/>
        </w:rPr>
        <w:t>microRNA molecular profiles in lung cancer diagnosis and</w:t>
      </w:r>
      <w:r>
        <w:rPr>
          <w:rFonts w:ascii="JansonTextLT-Roman" w:hAnsi="JansonTextLT-Roman" w:cs="JansonTextLT-Roman"/>
          <w:sz w:val="24"/>
          <w:szCs w:val="24"/>
        </w:rPr>
        <w:t xml:space="preserve"> </w:t>
      </w:r>
      <w:r w:rsidRPr="002A0ED4">
        <w:rPr>
          <w:rFonts w:ascii="JansonTextLT-Roman" w:hAnsi="JansonTextLT-Roman" w:cs="JansonTextLT-Roman"/>
          <w:sz w:val="24"/>
          <w:szCs w:val="24"/>
        </w:rPr>
        <w:t>prognosis. Cancer Cell 2006;9:189-98.</w:t>
      </w:r>
    </w:p>
    <w:p w:rsidR="002A0ED4" w:rsidRDefault="002A0ED4" w:rsidP="002A0ED4">
      <w:pPr>
        <w:pStyle w:val="ListParagraph"/>
        <w:numPr>
          <w:ilvl w:val="0"/>
          <w:numId w:val="1"/>
        </w:numPr>
        <w:autoSpaceDE w:val="0"/>
        <w:autoSpaceDN w:val="0"/>
        <w:bidi w:val="0"/>
        <w:adjustRightInd w:val="0"/>
        <w:spacing w:after="0" w:line="240" w:lineRule="auto"/>
        <w:rPr>
          <w:rFonts w:ascii="JansonTextLT-Roman" w:hAnsi="JansonTextLT-Roman" w:cs="JansonTextLT-Roman"/>
          <w:sz w:val="24"/>
          <w:szCs w:val="24"/>
        </w:rPr>
      </w:pPr>
      <w:r w:rsidRPr="002A0ED4">
        <w:rPr>
          <w:rFonts w:ascii="JansonTextLT-Roman" w:hAnsi="JansonTextLT-Roman" w:cs="JansonTextLT-Roman"/>
          <w:sz w:val="24"/>
          <w:szCs w:val="24"/>
        </w:rPr>
        <w:t xml:space="preserve"> Markou A, Tsaroucha EG, Kaklamanis L, et al.</w:t>
      </w:r>
      <w:r>
        <w:rPr>
          <w:rFonts w:ascii="JansonTextLT-Roman" w:hAnsi="JansonTextLT-Roman" w:cs="JansonTextLT-Roman"/>
          <w:sz w:val="24"/>
          <w:szCs w:val="24"/>
        </w:rPr>
        <w:t xml:space="preserve"> </w:t>
      </w:r>
      <w:r w:rsidRPr="002A0ED4">
        <w:rPr>
          <w:rFonts w:ascii="JansonTextLT-Roman" w:hAnsi="JansonTextLT-Roman" w:cs="JansonTextLT-Roman"/>
          <w:sz w:val="24"/>
          <w:szCs w:val="24"/>
        </w:rPr>
        <w:t>Prognostic value of mature microRNA-21 and</w:t>
      </w:r>
      <w:r>
        <w:rPr>
          <w:rFonts w:ascii="JansonTextLT-Roman" w:hAnsi="JansonTextLT-Roman" w:cs="JansonTextLT-Roman"/>
          <w:sz w:val="24"/>
          <w:szCs w:val="24"/>
        </w:rPr>
        <w:t xml:space="preserve"> </w:t>
      </w:r>
      <w:r w:rsidRPr="002A0ED4">
        <w:rPr>
          <w:rFonts w:ascii="JansonTextLT-Roman" w:hAnsi="JansonTextLT-Roman" w:cs="JansonTextLT-Roman"/>
          <w:sz w:val="24"/>
          <w:szCs w:val="24"/>
        </w:rPr>
        <w:t>microRNA-205 overexpression in non-small cell lung</w:t>
      </w:r>
      <w:r>
        <w:rPr>
          <w:rFonts w:ascii="JansonTextLT-Roman" w:hAnsi="JansonTextLT-Roman" w:cs="JansonTextLT-Roman"/>
          <w:sz w:val="24"/>
          <w:szCs w:val="24"/>
        </w:rPr>
        <w:t xml:space="preserve"> </w:t>
      </w:r>
      <w:r w:rsidRPr="002A0ED4">
        <w:rPr>
          <w:rFonts w:ascii="JansonTextLT-Roman" w:hAnsi="JansonTextLT-Roman" w:cs="JansonTextLT-Roman"/>
          <w:sz w:val="24"/>
          <w:szCs w:val="24"/>
        </w:rPr>
        <w:t>cancer by quantitative real-time RT-PCR. Clin Chem</w:t>
      </w:r>
      <w:r>
        <w:rPr>
          <w:rFonts w:ascii="JansonTextLT-Roman" w:hAnsi="JansonTextLT-Roman" w:cs="JansonTextLT-Roman"/>
          <w:sz w:val="24"/>
          <w:szCs w:val="24"/>
        </w:rPr>
        <w:t xml:space="preserve"> </w:t>
      </w:r>
      <w:r w:rsidRPr="002A0ED4">
        <w:rPr>
          <w:rFonts w:ascii="JansonTextLT-Roman" w:hAnsi="JansonTextLT-Roman" w:cs="JansonTextLT-Roman"/>
          <w:sz w:val="24"/>
          <w:szCs w:val="24"/>
        </w:rPr>
        <w:t>2008;54:1696-704.</w:t>
      </w:r>
    </w:p>
    <w:p w:rsidR="002A0ED4" w:rsidRPr="002A0ED4" w:rsidRDefault="002A0ED4" w:rsidP="002A0ED4">
      <w:pPr>
        <w:pStyle w:val="ListParagraph"/>
        <w:numPr>
          <w:ilvl w:val="0"/>
          <w:numId w:val="1"/>
        </w:numPr>
        <w:autoSpaceDE w:val="0"/>
        <w:autoSpaceDN w:val="0"/>
        <w:bidi w:val="0"/>
        <w:adjustRightInd w:val="0"/>
        <w:spacing w:after="0" w:line="240" w:lineRule="auto"/>
        <w:rPr>
          <w:rFonts w:ascii="JansonTextLT-Roman" w:hAnsi="JansonTextLT-Roman" w:cs="JansonTextLT-Roman"/>
          <w:sz w:val="24"/>
          <w:szCs w:val="24"/>
        </w:rPr>
      </w:pPr>
      <w:r w:rsidRPr="002A0ED4">
        <w:rPr>
          <w:rFonts w:ascii="JansonTextLT-Roman" w:hAnsi="JansonTextLT-Roman" w:cs="JansonTextLT-Roman"/>
          <w:sz w:val="24"/>
          <w:szCs w:val="24"/>
        </w:rPr>
        <w:t>Volinia S, Calin GA, Liu CG, et al. A microRNA</w:t>
      </w:r>
      <w:r>
        <w:rPr>
          <w:rFonts w:ascii="JansonTextLT-Roman" w:hAnsi="JansonTextLT-Roman" w:cs="JansonTextLT-Roman"/>
          <w:sz w:val="24"/>
          <w:szCs w:val="24"/>
        </w:rPr>
        <w:t xml:space="preserve"> </w:t>
      </w:r>
      <w:r w:rsidRPr="002A0ED4">
        <w:rPr>
          <w:rFonts w:ascii="JansonTextLT-Roman" w:hAnsi="JansonTextLT-Roman" w:cs="JansonTextLT-Roman"/>
          <w:sz w:val="24"/>
          <w:szCs w:val="24"/>
        </w:rPr>
        <w:t>expression signature of human solid tumors defines cancer</w:t>
      </w:r>
      <w:r>
        <w:rPr>
          <w:rFonts w:ascii="JansonTextLT-Roman" w:hAnsi="JansonTextLT-Roman" w:cs="JansonTextLT-Roman"/>
          <w:sz w:val="24"/>
          <w:szCs w:val="24"/>
        </w:rPr>
        <w:t xml:space="preserve"> </w:t>
      </w:r>
      <w:r w:rsidRPr="002A0ED4">
        <w:rPr>
          <w:rFonts w:ascii="JansonTextLT-Roman" w:hAnsi="JansonTextLT-Roman" w:cs="JansonTextLT-Roman"/>
          <w:sz w:val="24"/>
          <w:szCs w:val="24"/>
        </w:rPr>
        <w:t>gene targets. Proc Natl Acad Sci USA 2006;103:2257-61.</w:t>
      </w:r>
    </w:p>
    <w:p w:rsidR="001C7D3B" w:rsidRPr="002A0ED4" w:rsidRDefault="001C7D3B" w:rsidP="002A0ED4">
      <w:pPr>
        <w:autoSpaceDE w:val="0"/>
        <w:autoSpaceDN w:val="0"/>
        <w:bidi w:val="0"/>
        <w:adjustRightInd w:val="0"/>
        <w:spacing w:after="0" w:line="240" w:lineRule="auto"/>
        <w:rPr>
          <w:rFonts w:ascii="JansonTextLT-Roman" w:hAnsi="JansonTextLT-Roman" w:cs="JansonTextLT-Roman"/>
          <w:sz w:val="24"/>
          <w:szCs w:val="24"/>
        </w:rPr>
      </w:pPr>
    </w:p>
    <w:p w:rsidR="001C7D3B" w:rsidRDefault="001C7D3B" w:rsidP="001C7D3B">
      <w:pPr>
        <w:autoSpaceDE w:val="0"/>
        <w:autoSpaceDN w:val="0"/>
        <w:bidi w:val="0"/>
        <w:adjustRightInd w:val="0"/>
        <w:spacing w:after="0" w:line="240" w:lineRule="auto"/>
        <w:rPr>
          <w:rFonts w:ascii="JansonTextLT-Roman" w:hAnsi="JansonTextLT-Roman" w:cs="JansonTextLT-Roman"/>
          <w:sz w:val="24"/>
          <w:szCs w:val="24"/>
        </w:rPr>
      </w:pPr>
      <w:r>
        <w:rPr>
          <w:noProof/>
        </w:rPr>
        <w:lastRenderedPageBreak/>
        <w:drawing>
          <wp:anchor distT="0" distB="0" distL="114300" distR="114300" simplePos="0" relativeHeight="251658240" behindDoc="0" locked="0" layoutInCell="1" allowOverlap="1">
            <wp:simplePos x="0" y="0"/>
            <wp:positionH relativeFrom="column">
              <wp:posOffset>1905</wp:posOffset>
            </wp:positionH>
            <wp:positionV relativeFrom="paragraph">
              <wp:posOffset>-3810</wp:posOffset>
            </wp:positionV>
            <wp:extent cx="4857750" cy="24765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4857750" cy="2476500"/>
                    </a:xfrm>
                    <a:prstGeom prst="rect">
                      <a:avLst/>
                    </a:prstGeom>
                  </pic:spPr>
                </pic:pic>
              </a:graphicData>
            </a:graphic>
            <wp14:sizeRelH relativeFrom="page">
              <wp14:pctWidth>0</wp14:pctWidth>
            </wp14:sizeRelH>
            <wp14:sizeRelV relativeFrom="page">
              <wp14:pctHeight>0</wp14:pctHeight>
            </wp14:sizeRelV>
          </wp:anchor>
        </w:drawing>
      </w:r>
    </w:p>
    <w:p w:rsidR="001C7D3B" w:rsidRPr="001C7D3B" w:rsidRDefault="001C7D3B" w:rsidP="001C7D3B">
      <w:pPr>
        <w:bidi w:val="0"/>
        <w:rPr>
          <w:rFonts w:ascii="JansonTextLT-Roman" w:hAnsi="JansonTextLT-Roman" w:cs="JansonTextLT-Roman"/>
          <w:sz w:val="24"/>
          <w:szCs w:val="24"/>
        </w:rPr>
      </w:pPr>
    </w:p>
    <w:p w:rsidR="001C7D3B" w:rsidRPr="001C7D3B" w:rsidRDefault="001C7D3B" w:rsidP="001C7D3B">
      <w:pPr>
        <w:bidi w:val="0"/>
        <w:rPr>
          <w:rFonts w:ascii="JansonTextLT-Roman" w:hAnsi="JansonTextLT-Roman" w:cs="JansonTextLT-Roman"/>
          <w:sz w:val="24"/>
          <w:szCs w:val="24"/>
        </w:rPr>
      </w:pPr>
    </w:p>
    <w:p w:rsidR="001C7D3B" w:rsidRPr="001C7D3B" w:rsidRDefault="001C7D3B" w:rsidP="001C7D3B">
      <w:pPr>
        <w:bidi w:val="0"/>
        <w:rPr>
          <w:rFonts w:ascii="JansonTextLT-Roman" w:hAnsi="JansonTextLT-Roman" w:cs="JansonTextLT-Roman"/>
          <w:sz w:val="24"/>
          <w:szCs w:val="24"/>
        </w:rPr>
      </w:pPr>
    </w:p>
    <w:p w:rsidR="001C7D3B" w:rsidRPr="001C7D3B" w:rsidRDefault="001C7D3B" w:rsidP="001C7D3B">
      <w:pPr>
        <w:bidi w:val="0"/>
        <w:rPr>
          <w:rFonts w:ascii="JansonTextLT-Roman" w:hAnsi="JansonTextLT-Roman" w:cs="JansonTextLT-Roman"/>
          <w:sz w:val="24"/>
          <w:szCs w:val="24"/>
        </w:rPr>
      </w:pPr>
    </w:p>
    <w:p w:rsidR="001C7D3B" w:rsidRPr="001C7D3B" w:rsidRDefault="001C7D3B" w:rsidP="001C7D3B">
      <w:pPr>
        <w:bidi w:val="0"/>
        <w:rPr>
          <w:rFonts w:ascii="JansonTextLT-Roman" w:hAnsi="JansonTextLT-Roman" w:cs="JansonTextLT-Roman"/>
          <w:sz w:val="24"/>
          <w:szCs w:val="24"/>
        </w:rPr>
      </w:pPr>
    </w:p>
    <w:p w:rsidR="001C7D3B" w:rsidRPr="001C7D3B" w:rsidRDefault="001C7D3B" w:rsidP="001C7D3B">
      <w:pPr>
        <w:bidi w:val="0"/>
        <w:rPr>
          <w:rFonts w:ascii="JansonTextLT-Roman" w:hAnsi="JansonTextLT-Roman" w:cs="JansonTextLT-Roman"/>
          <w:sz w:val="24"/>
          <w:szCs w:val="24"/>
        </w:rPr>
      </w:pPr>
    </w:p>
    <w:p w:rsidR="001C7D3B" w:rsidRPr="001C7D3B" w:rsidRDefault="001C7D3B" w:rsidP="001C7D3B">
      <w:pPr>
        <w:bidi w:val="0"/>
        <w:rPr>
          <w:rFonts w:ascii="JansonTextLT-Roman" w:hAnsi="JansonTextLT-Roman" w:cs="JansonTextLT-Roman"/>
          <w:sz w:val="24"/>
          <w:szCs w:val="24"/>
        </w:rPr>
      </w:pPr>
    </w:p>
    <w:p w:rsidR="001C7D3B" w:rsidRPr="001C7D3B" w:rsidRDefault="001C7D3B" w:rsidP="001C7D3B">
      <w:pPr>
        <w:bidi w:val="0"/>
        <w:rPr>
          <w:rFonts w:ascii="JansonTextLT-Roman" w:hAnsi="JansonTextLT-Roman" w:cs="JansonTextLT-Roman"/>
          <w:sz w:val="24"/>
          <w:szCs w:val="24"/>
        </w:rPr>
      </w:pPr>
    </w:p>
    <w:p w:rsidR="001C7D3B" w:rsidRPr="001C7D3B" w:rsidRDefault="001C7D3B" w:rsidP="001C7D3B">
      <w:pPr>
        <w:bidi w:val="0"/>
        <w:rPr>
          <w:rFonts w:ascii="JansonTextLT-Roman" w:hAnsi="JansonTextLT-Roman" w:cs="JansonTextLT-Roman"/>
          <w:sz w:val="24"/>
          <w:szCs w:val="24"/>
        </w:rPr>
      </w:pPr>
    </w:p>
    <w:p w:rsidR="001C7D3B" w:rsidRPr="001C7D3B" w:rsidRDefault="007679FA" w:rsidP="001C7D3B">
      <w:pPr>
        <w:bidi w:val="0"/>
        <w:rPr>
          <w:rFonts w:ascii="JansonTextLT-Roman" w:hAnsi="JansonTextLT-Roman" w:cs="JansonTextLT-Roman"/>
          <w:sz w:val="24"/>
          <w:szCs w:val="24"/>
        </w:rPr>
      </w:pPr>
      <w:r>
        <w:rPr>
          <w:noProof/>
        </w:rPr>
        <w:drawing>
          <wp:inline distT="0" distB="0" distL="0" distR="0" wp14:anchorId="134BD4D0" wp14:editId="5F2FE0A4">
            <wp:extent cx="4810125" cy="2295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810125" cy="2295525"/>
                    </a:xfrm>
                    <a:prstGeom prst="rect">
                      <a:avLst/>
                    </a:prstGeom>
                  </pic:spPr>
                </pic:pic>
              </a:graphicData>
            </a:graphic>
          </wp:inline>
        </w:drawing>
      </w:r>
    </w:p>
    <w:p w:rsidR="001C7D3B" w:rsidRDefault="001C7D3B" w:rsidP="001C7D3B">
      <w:pPr>
        <w:bidi w:val="0"/>
        <w:rPr>
          <w:rFonts w:ascii="JansonTextLT-Roman" w:hAnsi="JansonTextLT-Roman" w:cs="JansonTextLT-Roman"/>
          <w:sz w:val="24"/>
          <w:szCs w:val="24"/>
        </w:rPr>
      </w:pPr>
    </w:p>
    <w:p w:rsidR="001C7D3B" w:rsidRDefault="001C7D3B" w:rsidP="007679FA">
      <w:pPr>
        <w:tabs>
          <w:tab w:val="left" w:pos="5347"/>
        </w:tabs>
        <w:bidi w:val="0"/>
        <w:rPr>
          <w:rFonts w:ascii="JansonTextLT-Roman" w:hAnsi="JansonTextLT-Roman" w:cs="JansonTextLT-Roman"/>
          <w:sz w:val="24"/>
          <w:szCs w:val="24"/>
        </w:rPr>
      </w:pPr>
      <w:r>
        <w:rPr>
          <w:rFonts w:ascii="JansonTextLT-Roman" w:hAnsi="JansonTextLT-Roman" w:cs="JansonTextLT-Roman"/>
          <w:sz w:val="24"/>
          <w:szCs w:val="24"/>
        </w:rPr>
        <w:tab/>
      </w:r>
    </w:p>
    <w:p w:rsidR="001C7D3B" w:rsidRDefault="001C7D3B" w:rsidP="001C7D3B">
      <w:pPr>
        <w:tabs>
          <w:tab w:val="left" w:pos="5347"/>
        </w:tabs>
        <w:bidi w:val="0"/>
        <w:rPr>
          <w:rFonts w:ascii="JansonTextLT-Roman" w:hAnsi="JansonTextLT-Roman" w:cs="JansonTextLT-Roman"/>
          <w:sz w:val="24"/>
          <w:szCs w:val="24"/>
        </w:rPr>
      </w:pPr>
    </w:p>
    <w:p w:rsidR="001C7D3B" w:rsidRDefault="001C7D3B" w:rsidP="001C7D3B">
      <w:pPr>
        <w:tabs>
          <w:tab w:val="left" w:pos="5347"/>
        </w:tabs>
        <w:bidi w:val="0"/>
        <w:rPr>
          <w:rFonts w:ascii="JansonTextLT-Roman" w:hAnsi="JansonTextLT-Roman" w:cs="JansonTextLT-Roman"/>
          <w:sz w:val="24"/>
          <w:szCs w:val="24"/>
        </w:rPr>
      </w:pPr>
    </w:p>
    <w:p w:rsidR="00033BC7" w:rsidRDefault="00033BC7" w:rsidP="001C7D3B">
      <w:pPr>
        <w:tabs>
          <w:tab w:val="left" w:pos="5347"/>
        </w:tabs>
        <w:bidi w:val="0"/>
        <w:rPr>
          <w:rFonts w:ascii="JansonTextLT-Roman" w:hAnsi="JansonTextLT-Roman" w:cs="JansonTextLT-Roman"/>
          <w:sz w:val="24"/>
          <w:szCs w:val="24"/>
        </w:rPr>
      </w:pPr>
      <w:r>
        <w:rPr>
          <w:noProof/>
        </w:rPr>
        <w:drawing>
          <wp:anchor distT="0" distB="0" distL="114300" distR="114300" simplePos="0" relativeHeight="251659264" behindDoc="0" locked="0" layoutInCell="1" allowOverlap="1">
            <wp:simplePos x="0" y="0"/>
            <wp:positionH relativeFrom="column">
              <wp:posOffset>1905</wp:posOffset>
            </wp:positionH>
            <wp:positionV relativeFrom="paragraph">
              <wp:posOffset>0</wp:posOffset>
            </wp:positionV>
            <wp:extent cx="4157980" cy="392938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4157980" cy="3929380"/>
                    </a:xfrm>
                    <a:prstGeom prst="rect">
                      <a:avLst/>
                    </a:prstGeom>
                  </pic:spPr>
                </pic:pic>
              </a:graphicData>
            </a:graphic>
            <wp14:sizeRelH relativeFrom="page">
              <wp14:pctWidth>0</wp14:pctWidth>
            </wp14:sizeRelH>
            <wp14:sizeRelV relativeFrom="page">
              <wp14:pctHeight>0</wp14:pctHeight>
            </wp14:sizeRelV>
          </wp:anchor>
        </w:drawing>
      </w:r>
    </w:p>
    <w:p w:rsidR="00033BC7" w:rsidRPr="00033BC7" w:rsidRDefault="00033BC7" w:rsidP="00033BC7">
      <w:pPr>
        <w:bidi w:val="0"/>
        <w:rPr>
          <w:rFonts w:ascii="JansonTextLT-Roman" w:hAnsi="JansonTextLT-Roman" w:cs="JansonTextLT-Roman"/>
          <w:sz w:val="24"/>
          <w:szCs w:val="24"/>
        </w:rPr>
      </w:pPr>
    </w:p>
    <w:p w:rsidR="00033BC7" w:rsidRPr="00033BC7" w:rsidRDefault="00033BC7" w:rsidP="00033BC7">
      <w:pPr>
        <w:bidi w:val="0"/>
        <w:rPr>
          <w:rFonts w:ascii="JansonTextLT-Roman" w:hAnsi="JansonTextLT-Roman" w:cs="JansonTextLT-Roman"/>
          <w:sz w:val="24"/>
          <w:szCs w:val="24"/>
        </w:rPr>
      </w:pPr>
    </w:p>
    <w:p w:rsidR="00033BC7" w:rsidRPr="00033BC7" w:rsidRDefault="00033BC7" w:rsidP="00033BC7">
      <w:pPr>
        <w:bidi w:val="0"/>
        <w:rPr>
          <w:rFonts w:ascii="JansonTextLT-Roman" w:hAnsi="JansonTextLT-Roman" w:cs="JansonTextLT-Roman"/>
          <w:sz w:val="24"/>
          <w:szCs w:val="24"/>
        </w:rPr>
      </w:pPr>
    </w:p>
    <w:p w:rsidR="00033BC7" w:rsidRPr="00033BC7" w:rsidRDefault="00033BC7" w:rsidP="00033BC7">
      <w:pPr>
        <w:bidi w:val="0"/>
        <w:rPr>
          <w:rFonts w:ascii="JansonTextLT-Roman" w:hAnsi="JansonTextLT-Roman" w:cs="JansonTextLT-Roman"/>
          <w:sz w:val="24"/>
          <w:szCs w:val="24"/>
        </w:rPr>
      </w:pPr>
    </w:p>
    <w:p w:rsidR="00033BC7" w:rsidRPr="00033BC7" w:rsidRDefault="00033BC7" w:rsidP="00033BC7">
      <w:pPr>
        <w:bidi w:val="0"/>
        <w:rPr>
          <w:rFonts w:ascii="JansonTextLT-Roman" w:hAnsi="JansonTextLT-Roman" w:cs="JansonTextLT-Roman"/>
          <w:sz w:val="24"/>
          <w:szCs w:val="24"/>
        </w:rPr>
      </w:pPr>
    </w:p>
    <w:p w:rsidR="00033BC7" w:rsidRPr="00033BC7" w:rsidRDefault="00033BC7" w:rsidP="00033BC7">
      <w:pPr>
        <w:bidi w:val="0"/>
        <w:rPr>
          <w:rFonts w:ascii="JansonTextLT-Roman" w:hAnsi="JansonTextLT-Roman" w:cs="JansonTextLT-Roman"/>
          <w:sz w:val="24"/>
          <w:szCs w:val="24"/>
        </w:rPr>
      </w:pPr>
    </w:p>
    <w:p w:rsidR="00033BC7" w:rsidRDefault="00033BC7" w:rsidP="00033BC7">
      <w:pPr>
        <w:bidi w:val="0"/>
        <w:rPr>
          <w:rFonts w:ascii="JansonTextLT-Roman" w:hAnsi="JansonTextLT-Roman" w:cs="JansonTextLT-Roman"/>
          <w:sz w:val="24"/>
          <w:szCs w:val="24"/>
        </w:rPr>
      </w:pPr>
    </w:p>
    <w:p w:rsidR="001C7D3B" w:rsidRDefault="001C7D3B" w:rsidP="00033BC7">
      <w:pPr>
        <w:bidi w:val="0"/>
        <w:rPr>
          <w:rFonts w:ascii="JansonTextLT-Roman" w:hAnsi="JansonTextLT-Roman" w:cs="JansonTextLT-Roman"/>
          <w:sz w:val="24"/>
          <w:szCs w:val="24"/>
        </w:rPr>
      </w:pPr>
    </w:p>
    <w:p w:rsidR="00033BC7" w:rsidRDefault="00033BC7" w:rsidP="00033BC7">
      <w:pPr>
        <w:bidi w:val="0"/>
        <w:rPr>
          <w:rFonts w:ascii="JansonTextLT-Roman" w:hAnsi="JansonTextLT-Roman" w:cs="JansonTextLT-Roman"/>
          <w:sz w:val="24"/>
          <w:szCs w:val="24"/>
        </w:rPr>
      </w:pPr>
    </w:p>
    <w:p w:rsidR="00033BC7" w:rsidRDefault="00033BC7" w:rsidP="00033BC7">
      <w:pPr>
        <w:bidi w:val="0"/>
        <w:rPr>
          <w:rFonts w:ascii="JansonTextLT-Roman" w:hAnsi="JansonTextLT-Roman" w:cs="JansonTextLT-Roman"/>
          <w:sz w:val="24"/>
          <w:szCs w:val="24"/>
        </w:rPr>
      </w:pPr>
    </w:p>
    <w:p w:rsidR="00033BC7" w:rsidRDefault="00033BC7" w:rsidP="00033BC7">
      <w:pPr>
        <w:bidi w:val="0"/>
        <w:rPr>
          <w:rFonts w:ascii="JansonTextLT-Roman" w:hAnsi="JansonTextLT-Roman" w:cs="JansonTextLT-Roman"/>
          <w:sz w:val="24"/>
          <w:szCs w:val="24"/>
        </w:rPr>
      </w:pPr>
    </w:p>
    <w:p w:rsidR="00033BC7" w:rsidRDefault="00033BC7" w:rsidP="00033BC7">
      <w:pPr>
        <w:bidi w:val="0"/>
        <w:rPr>
          <w:rFonts w:ascii="JansonTextLT-Roman" w:hAnsi="JansonTextLT-Roman" w:cs="JansonTextLT-Roman"/>
          <w:sz w:val="24"/>
          <w:szCs w:val="24"/>
        </w:rPr>
      </w:pPr>
    </w:p>
    <w:p w:rsidR="002A0ED4" w:rsidRDefault="002A0ED4" w:rsidP="00033BC7">
      <w:pPr>
        <w:bidi w:val="0"/>
        <w:rPr>
          <w:rFonts w:ascii="JansonTextLT-Roman" w:hAnsi="JansonTextLT-Roman" w:cs="JansonTextLT-Roman"/>
          <w:sz w:val="24"/>
          <w:szCs w:val="24"/>
        </w:rPr>
      </w:pPr>
    </w:p>
    <w:p w:rsidR="002A0ED4" w:rsidRDefault="002A0ED4" w:rsidP="002A0ED4">
      <w:pPr>
        <w:bidi w:val="0"/>
        <w:rPr>
          <w:rFonts w:ascii="JansonTextLT-Roman" w:hAnsi="JansonTextLT-Roman" w:cs="JansonTextLT-Roman"/>
          <w:sz w:val="24"/>
          <w:szCs w:val="24"/>
        </w:rPr>
      </w:pPr>
    </w:p>
    <w:p w:rsidR="002A0ED4" w:rsidRDefault="002A0ED4" w:rsidP="002A0ED4">
      <w:pPr>
        <w:bidi w:val="0"/>
        <w:rPr>
          <w:rFonts w:ascii="JansonTextLT-Roman" w:hAnsi="JansonTextLT-Roman" w:cs="JansonTextLT-Roman"/>
          <w:sz w:val="24"/>
          <w:szCs w:val="24"/>
        </w:rPr>
      </w:pPr>
    </w:p>
    <w:p w:rsidR="002A0ED4" w:rsidRDefault="002A0ED4" w:rsidP="002A0ED4">
      <w:pPr>
        <w:bidi w:val="0"/>
        <w:rPr>
          <w:rFonts w:ascii="JansonTextLT-Roman" w:hAnsi="JansonTextLT-Roman" w:cs="JansonTextLT-Roman"/>
          <w:sz w:val="24"/>
          <w:szCs w:val="24"/>
        </w:rPr>
      </w:pPr>
    </w:p>
    <w:p w:rsidR="002A0ED4" w:rsidRDefault="002A0ED4" w:rsidP="002A0ED4">
      <w:pPr>
        <w:bidi w:val="0"/>
        <w:rPr>
          <w:rFonts w:ascii="JansonTextLT-Roman" w:hAnsi="JansonTextLT-Roman" w:cs="JansonTextLT-Roman"/>
          <w:sz w:val="24"/>
          <w:szCs w:val="24"/>
        </w:rPr>
      </w:pPr>
    </w:p>
    <w:p w:rsidR="002A0ED4" w:rsidRDefault="002A0ED4" w:rsidP="002A0ED4">
      <w:pPr>
        <w:bidi w:val="0"/>
        <w:rPr>
          <w:rFonts w:ascii="JansonTextLT-Roman" w:hAnsi="JansonTextLT-Roman" w:cs="JansonTextLT-Roman"/>
          <w:sz w:val="24"/>
          <w:szCs w:val="24"/>
        </w:rPr>
      </w:pPr>
    </w:p>
    <w:p w:rsidR="00033BC7" w:rsidRDefault="002A0ED4" w:rsidP="002A0ED4">
      <w:pPr>
        <w:tabs>
          <w:tab w:val="left" w:pos="1290"/>
        </w:tabs>
        <w:bidi w:val="0"/>
        <w:rPr>
          <w:rFonts w:ascii="JansonTextLT-Roman" w:hAnsi="JansonTextLT-Roman" w:cs="JansonTextLT-Roman"/>
          <w:sz w:val="24"/>
          <w:szCs w:val="24"/>
        </w:rPr>
      </w:pPr>
      <w:r>
        <w:rPr>
          <w:noProof/>
        </w:rPr>
        <w:lastRenderedPageBreak/>
        <w:drawing>
          <wp:anchor distT="0" distB="0" distL="114300" distR="114300" simplePos="0" relativeHeight="251661312" behindDoc="0" locked="0" layoutInCell="1" allowOverlap="1" wp14:anchorId="2F637110" wp14:editId="14F52F82">
            <wp:simplePos x="0" y="0"/>
            <wp:positionH relativeFrom="column">
              <wp:posOffset>1905</wp:posOffset>
            </wp:positionH>
            <wp:positionV relativeFrom="paragraph">
              <wp:posOffset>3792220</wp:posOffset>
            </wp:positionV>
            <wp:extent cx="5133975" cy="4429125"/>
            <wp:effectExtent l="0" t="0" r="9525"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133975" cy="4429125"/>
                    </a:xfrm>
                    <a:prstGeom prst="rect">
                      <a:avLst/>
                    </a:prstGeom>
                  </pic:spPr>
                </pic:pic>
              </a:graphicData>
            </a:graphic>
            <wp14:sizeRelH relativeFrom="page">
              <wp14:pctWidth>0</wp14:pctWidth>
            </wp14:sizeRelH>
            <wp14:sizeRelV relativeFrom="page">
              <wp14:pctHeight>0</wp14:pctHeight>
            </wp14:sizeRelV>
          </wp:anchor>
        </w:drawing>
      </w:r>
      <w:r w:rsidR="00033BC7">
        <w:rPr>
          <w:noProof/>
        </w:rPr>
        <w:drawing>
          <wp:anchor distT="0" distB="0" distL="114300" distR="114300" simplePos="0" relativeHeight="251660288" behindDoc="0" locked="0" layoutInCell="1" allowOverlap="1" wp14:anchorId="1D2C46A6" wp14:editId="469F1F87">
            <wp:simplePos x="0" y="0"/>
            <wp:positionH relativeFrom="column">
              <wp:posOffset>1905</wp:posOffset>
            </wp:positionH>
            <wp:positionV relativeFrom="paragraph">
              <wp:posOffset>-1270</wp:posOffset>
            </wp:positionV>
            <wp:extent cx="5229225" cy="379095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229225" cy="3790950"/>
                    </a:xfrm>
                    <a:prstGeom prst="rect">
                      <a:avLst/>
                    </a:prstGeom>
                  </pic:spPr>
                </pic:pic>
              </a:graphicData>
            </a:graphic>
            <wp14:sizeRelH relativeFrom="page">
              <wp14:pctWidth>0</wp14:pctWidth>
            </wp14:sizeRelH>
            <wp14:sizeRelV relativeFrom="page">
              <wp14:pctHeight>0</wp14:pctHeight>
            </wp14:sizeRelV>
          </wp:anchor>
        </w:drawing>
      </w:r>
      <w:r>
        <w:rPr>
          <w:rFonts w:ascii="JansonTextLT-Roman" w:hAnsi="JansonTextLT-Roman" w:cs="JansonTextLT-Roman"/>
          <w:sz w:val="24"/>
          <w:szCs w:val="24"/>
        </w:rPr>
        <w:tab/>
      </w:r>
    </w:p>
    <w:p w:rsidR="002A0ED4" w:rsidRDefault="002A0ED4" w:rsidP="002A0ED4">
      <w:pPr>
        <w:tabs>
          <w:tab w:val="left" w:pos="1290"/>
        </w:tabs>
        <w:bidi w:val="0"/>
        <w:rPr>
          <w:rFonts w:ascii="JansonTextLT-Roman" w:hAnsi="JansonTextLT-Roman" w:cs="JansonTextLT-Roman"/>
          <w:sz w:val="24"/>
          <w:szCs w:val="24"/>
        </w:rPr>
      </w:pPr>
    </w:p>
    <w:p w:rsidR="002A0ED4" w:rsidRDefault="002A0ED4" w:rsidP="002A0ED4">
      <w:pPr>
        <w:tabs>
          <w:tab w:val="left" w:pos="1290"/>
        </w:tabs>
        <w:bidi w:val="0"/>
        <w:rPr>
          <w:rFonts w:ascii="JansonTextLT-Roman" w:hAnsi="JansonTextLT-Roman" w:cs="JansonTextLT-Roman"/>
          <w:sz w:val="24"/>
          <w:szCs w:val="24"/>
        </w:rPr>
      </w:pPr>
    </w:p>
    <w:p w:rsidR="002A0ED4" w:rsidRPr="00033BC7" w:rsidRDefault="002A0ED4" w:rsidP="002A0ED4">
      <w:pPr>
        <w:tabs>
          <w:tab w:val="left" w:pos="1290"/>
        </w:tabs>
        <w:bidi w:val="0"/>
        <w:rPr>
          <w:rFonts w:ascii="JansonTextLT-Roman" w:hAnsi="JansonTextLT-Roman" w:cs="JansonTextLT-Roman"/>
          <w:sz w:val="24"/>
          <w:szCs w:val="24"/>
        </w:rPr>
      </w:pPr>
      <w:r>
        <w:rPr>
          <w:noProof/>
        </w:rPr>
        <w:drawing>
          <wp:inline distT="0" distB="0" distL="0" distR="0" wp14:anchorId="30C09615" wp14:editId="2D944F19">
            <wp:extent cx="4962525" cy="4991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962525" cy="4991100"/>
                    </a:xfrm>
                    <a:prstGeom prst="rect">
                      <a:avLst/>
                    </a:prstGeom>
                  </pic:spPr>
                </pic:pic>
              </a:graphicData>
            </a:graphic>
          </wp:inline>
        </w:drawing>
      </w:r>
    </w:p>
    <w:sectPr w:rsidR="002A0ED4" w:rsidRPr="00033BC7" w:rsidSect="007D0B77">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61CD" w:rsidRDefault="009761CD" w:rsidP="002A0ED4">
      <w:pPr>
        <w:spacing w:after="0" w:line="240" w:lineRule="auto"/>
      </w:pPr>
      <w:r>
        <w:separator/>
      </w:r>
    </w:p>
  </w:endnote>
  <w:endnote w:type="continuationSeparator" w:id="0">
    <w:p w:rsidR="009761CD" w:rsidRDefault="009761CD" w:rsidP="002A0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Pro-Bd">
    <w:panose1 w:val="00000000000000000000"/>
    <w:charset w:val="00"/>
    <w:family w:val="swiss"/>
    <w:notTrueType/>
    <w:pitch w:val="default"/>
    <w:sig w:usb0="00000003" w:usb1="00000000" w:usb2="00000000" w:usb3="00000000" w:csb0="00000001" w:csb1="00000000"/>
  </w:font>
  <w:font w:name="JansonTextLT-Roman">
    <w:altName w:val="Times New Roman"/>
    <w:panose1 w:val="00000000000000000000"/>
    <w:charset w:val="00"/>
    <w:family w:val="roman"/>
    <w:notTrueType/>
    <w:pitch w:val="default"/>
    <w:sig w:usb0="00000003" w:usb1="00000000" w:usb2="00000000" w:usb3="00000000" w:csb0="00000001" w:csb1="00000000"/>
  </w:font>
  <w:font w:name="CambriaMath">
    <w:altName w:val="MS Gothic"/>
    <w:panose1 w:val="00000000000000000000"/>
    <w:charset w:val="80"/>
    <w:family w:val="auto"/>
    <w:notTrueType/>
    <w:pitch w:val="default"/>
    <w:sig w:usb0="00000000" w:usb1="08070000" w:usb2="00000010" w:usb3="00000000" w:csb0="00020000" w:csb1="00000000"/>
  </w:font>
  <w:font w:name="JansonTextLT-Italic">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61CD" w:rsidRDefault="009761CD" w:rsidP="002A0ED4">
      <w:pPr>
        <w:spacing w:after="0" w:line="240" w:lineRule="auto"/>
      </w:pPr>
      <w:r>
        <w:separator/>
      </w:r>
    </w:p>
  </w:footnote>
  <w:footnote w:type="continuationSeparator" w:id="0">
    <w:p w:rsidR="009761CD" w:rsidRDefault="009761CD" w:rsidP="002A0E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531970"/>
    <w:multiLevelType w:val="hybridMultilevel"/>
    <w:tmpl w:val="23FE2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ED4E81"/>
    <w:multiLevelType w:val="hybridMultilevel"/>
    <w:tmpl w:val="23FE2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670"/>
    <w:rsid w:val="00033BC7"/>
    <w:rsid w:val="000427F3"/>
    <w:rsid w:val="000431A0"/>
    <w:rsid w:val="000A0339"/>
    <w:rsid w:val="000C5F46"/>
    <w:rsid w:val="00123022"/>
    <w:rsid w:val="001412F4"/>
    <w:rsid w:val="001427FA"/>
    <w:rsid w:val="00157634"/>
    <w:rsid w:val="001A210E"/>
    <w:rsid w:val="001C7D3B"/>
    <w:rsid w:val="001D07E1"/>
    <w:rsid w:val="002367B5"/>
    <w:rsid w:val="0025184D"/>
    <w:rsid w:val="00262ECB"/>
    <w:rsid w:val="002874D5"/>
    <w:rsid w:val="0029755B"/>
    <w:rsid w:val="002A0ED4"/>
    <w:rsid w:val="002B540F"/>
    <w:rsid w:val="002F063D"/>
    <w:rsid w:val="003253CA"/>
    <w:rsid w:val="00392B6C"/>
    <w:rsid w:val="003F0256"/>
    <w:rsid w:val="003F4C6A"/>
    <w:rsid w:val="003F4D74"/>
    <w:rsid w:val="00451DCA"/>
    <w:rsid w:val="00452CC1"/>
    <w:rsid w:val="004615B7"/>
    <w:rsid w:val="00482EA7"/>
    <w:rsid w:val="00485CA4"/>
    <w:rsid w:val="004A3C26"/>
    <w:rsid w:val="004B6481"/>
    <w:rsid w:val="004C76DB"/>
    <w:rsid w:val="004D2384"/>
    <w:rsid w:val="004E4394"/>
    <w:rsid w:val="00562F8F"/>
    <w:rsid w:val="00594D9E"/>
    <w:rsid w:val="005A1918"/>
    <w:rsid w:val="005D025A"/>
    <w:rsid w:val="005E50D4"/>
    <w:rsid w:val="00603AAB"/>
    <w:rsid w:val="00627945"/>
    <w:rsid w:val="00635A3E"/>
    <w:rsid w:val="00645253"/>
    <w:rsid w:val="00702496"/>
    <w:rsid w:val="007679FA"/>
    <w:rsid w:val="007D0B77"/>
    <w:rsid w:val="00822B91"/>
    <w:rsid w:val="008262EF"/>
    <w:rsid w:val="0083136C"/>
    <w:rsid w:val="00866031"/>
    <w:rsid w:val="00935889"/>
    <w:rsid w:val="0095523F"/>
    <w:rsid w:val="009761CD"/>
    <w:rsid w:val="009A5263"/>
    <w:rsid w:val="009C315D"/>
    <w:rsid w:val="00A309AB"/>
    <w:rsid w:val="00B108BC"/>
    <w:rsid w:val="00B836F1"/>
    <w:rsid w:val="00B961F8"/>
    <w:rsid w:val="00BE294E"/>
    <w:rsid w:val="00BE3061"/>
    <w:rsid w:val="00C04767"/>
    <w:rsid w:val="00C5670C"/>
    <w:rsid w:val="00C700D0"/>
    <w:rsid w:val="00C84157"/>
    <w:rsid w:val="00C87812"/>
    <w:rsid w:val="00C93824"/>
    <w:rsid w:val="00C96D5B"/>
    <w:rsid w:val="00D85712"/>
    <w:rsid w:val="00DA4F62"/>
    <w:rsid w:val="00DD0670"/>
    <w:rsid w:val="00DE55FC"/>
    <w:rsid w:val="00E0397F"/>
    <w:rsid w:val="00E23663"/>
    <w:rsid w:val="00E27E44"/>
    <w:rsid w:val="00E309EA"/>
    <w:rsid w:val="00E71589"/>
    <w:rsid w:val="00E8150F"/>
    <w:rsid w:val="00E96481"/>
    <w:rsid w:val="00EE13E1"/>
    <w:rsid w:val="00EF33F8"/>
    <w:rsid w:val="00F306C6"/>
    <w:rsid w:val="00F4145C"/>
    <w:rsid w:val="00F53613"/>
    <w:rsid w:val="00FB76BB"/>
    <w:rsid w:val="00FE72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10DC0E-4F4C-4B0B-A351-ED7127BD7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7D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7D3B"/>
    <w:rPr>
      <w:rFonts w:ascii="Tahoma" w:hAnsi="Tahoma" w:cs="Tahoma"/>
      <w:sz w:val="16"/>
      <w:szCs w:val="16"/>
    </w:rPr>
  </w:style>
  <w:style w:type="paragraph" w:styleId="Header">
    <w:name w:val="header"/>
    <w:basedOn w:val="Normal"/>
    <w:link w:val="HeaderChar"/>
    <w:uiPriority w:val="99"/>
    <w:unhideWhenUsed/>
    <w:rsid w:val="002A0E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ED4"/>
  </w:style>
  <w:style w:type="paragraph" w:styleId="Footer">
    <w:name w:val="footer"/>
    <w:basedOn w:val="Normal"/>
    <w:link w:val="FooterChar"/>
    <w:uiPriority w:val="99"/>
    <w:unhideWhenUsed/>
    <w:rsid w:val="002A0E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ED4"/>
  </w:style>
  <w:style w:type="paragraph" w:styleId="ListParagraph">
    <w:name w:val="List Paragraph"/>
    <w:basedOn w:val="Normal"/>
    <w:uiPriority w:val="34"/>
    <w:qFormat/>
    <w:rsid w:val="002A0E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750</TotalTime>
  <Pages>1</Pages>
  <Words>2084</Words>
  <Characters>11884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Salih</dc:creator>
  <cp:lastModifiedBy>Maher</cp:lastModifiedBy>
  <cp:revision>6</cp:revision>
  <dcterms:created xsi:type="dcterms:W3CDTF">2021-04-30T21:31:00Z</dcterms:created>
  <dcterms:modified xsi:type="dcterms:W3CDTF">2021-07-31T14:37:00Z</dcterms:modified>
</cp:coreProperties>
</file>