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B40DF" w14:textId="471989DE" w:rsidR="002634BA" w:rsidRPr="002634BA" w:rsidRDefault="002634BA" w:rsidP="002634BA">
      <w:pPr>
        <w:jc w:val="center"/>
        <w:rPr>
          <w:rFonts w:asciiTheme="minorBidi" w:hAnsiTheme="minorBidi"/>
          <w:b/>
          <w:bCs/>
          <w:sz w:val="24"/>
          <w:szCs w:val="24"/>
        </w:rPr>
      </w:pPr>
      <w:r w:rsidRPr="002634BA">
        <w:rPr>
          <w:rFonts w:asciiTheme="minorBidi" w:hAnsiTheme="minorBidi"/>
          <w:b/>
          <w:bCs/>
          <w:sz w:val="24"/>
          <w:szCs w:val="24"/>
        </w:rPr>
        <w:t xml:space="preserve">Nanotechnological pursuits to </w:t>
      </w:r>
      <w:r>
        <w:rPr>
          <w:rFonts w:asciiTheme="minorBidi" w:hAnsiTheme="minorBidi"/>
          <w:b/>
          <w:bCs/>
          <w:sz w:val="24"/>
          <w:szCs w:val="24"/>
        </w:rPr>
        <w:t>ameliorate</w:t>
      </w:r>
      <w:r w:rsidRPr="002634BA">
        <w:rPr>
          <w:rFonts w:asciiTheme="minorBidi" w:hAnsiTheme="minorBidi"/>
          <w:b/>
          <w:bCs/>
          <w:sz w:val="24"/>
          <w:szCs w:val="24"/>
        </w:rPr>
        <w:t xml:space="preserve"> therapeutic outcomes in Alzheimer’s Disease</w:t>
      </w:r>
    </w:p>
    <w:p w14:paraId="05FE4E8F" w14:textId="77777777" w:rsidR="002634BA" w:rsidRPr="002634BA" w:rsidRDefault="002634BA">
      <w:pPr>
        <w:rPr>
          <w:rFonts w:asciiTheme="minorBidi" w:hAnsiTheme="minorBidi"/>
          <w:sz w:val="24"/>
          <w:szCs w:val="24"/>
        </w:rPr>
      </w:pPr>
    </w:p>
    <w:p w14:paraId="282B1427" w14:textId="6FA1FD31" w:rsidR="00B07847" w:rsidRPr="002634BA" w:rsidRDefault="002634BA">
      <w:pPr>
        <w:rPr>
          <w:rFonts w:asciiTheme="minorBidi" w:hAnsiTheme="minorBidi"/>
          <w:sz w:val="24"/>
          <w:szCs w:val="24"/>
        </w:rPr>
      </w:pPr>
      <w:r w:rsidRPr="002634BA">
        <w:rPr>
          <w:rFonts w:asciiTheme="minorBidi" w:hAnsiTheme="minorBidi"/>
          <w:sz w:val="24"/>
          <w:szCs w:val="24"/>
        </w:rPr>
        <w:t xml:space="preserve">Alzheimer's disease (AD) is a neurodegenerative disorder that has no curative therapy till now. It's known to affect not only the memory and cognitive functions but also the behavior of the patient. Back to nature is the trend of many pharmaceutical researches. </w:t>
      </w:r>
      <w:proofErr w:type="spellStart"/>
      <w:r w:rsidRPr="002634BA">
        <w:rPr>
          <w:rFonts w:asciiTheme="minorBidi" w:hAnsiTheme="minorBidi"/>
          <w:sz w:val="24"/>
          <w:szCs w:val="24"/>
        </w:rPr>
        <w:t>Piperine</w:t>
      </w:r>
      <w:proofErr w:type="spellEnd"/>
      <w:r w:rsidRPr="002634BA">
        <w:rPr>
          <w:rFonts w:asciiTheme="minorBidi" w:hAnsiTheme="minorBidi"/>
          <w:sz w:val="24"/>
          <w:szCs w:val="24"/>
        </w:rPr>
        <w:t xml:space="preserve"> is an alkaloid with memory enhancing properties. This drug suffers many problems when delivered orally; it's a hydrophobic drug that is subjected to first pass metabolism. Since oral delivery is the most suitable route for treatment of chronic diseases, </w:t>
      </w:r>
      <w:proofErr w:type="gramStart"/>
      <w:r w:rsidR="00AB2898">
        <w:rPr>
          <w:rFonts w:asciiTheme="minorBidi" w:hAnsiTheme="minorBidi"/>
          <w:sz w:val="24"/>
          <w:szCs w:val="24"/>
        </w:rPr>
        <w:t>Our</w:t>
      </w:r>
      <w:proofErr w:type="gramEnd"/>
      <w:r w:rsidR="00AB2898">
        <w:rPr>
          <w:rFonts w:asciiTheme="minorBidi" w:hAnsiTheme="minorBidi"/>
          <w:sz w:val="24"/>
          <w:szCs w:val="24"/>
        </w:rPr>
        <w:t xml:space="preserve"> research group elaborated versatile types of nanocarriers </w:t>
      </w:r>
      <w:r w:rsidRPr="002634BA">
        <w:rPr>
          <w:rFonts w:asciiTheme="minorBidi" w:hAnsiTheme="minorBidi"/>
          <w:sz w:val="24"/>
          <w:szCs w:val="24"/>
        </w:rPr>
        <w:t xml:space="preserve">as a potential delivery system for </w:t>
      </w:r>
      <w:proofErr w:type="spellStart"/>
      <w:r w:rsidRPr="002634BA">
        <w:rPr>
          <w:rFonts w:asciiTheme="minorBidi" w:hAnsiTheme="minorBidi"/>
          <w:sz w:val="24"/>
          <w:szCs w:val="24"/>
        </w:rPr>
        <w:t>piperine</w:t>
      </w:r>
      <w:proofErr w:type="spellEnd"/>
      <w:r w:rsidRPr="002634BA">
        <w:rPr>
          <w:rFonts w:asciiTheme="minorBidi" w:hAnsiTheme="minorBidi"/>
          <w:sz w:val="24"/>
          <w:szCs w:val="24"/>
        </w:rPr>
        <w:t xml:space="preserve">. The use of bioactive excipients as surfactants for stabilization of Microemulsion was suggested to enhance </w:t>
      </w:r>
      <w:proofErr w:type="spellStart"/>
      <w:r w:rsidRPr="002634BA">
        <w:rPr>
          <w:rFonts w:asciiTheme="minorBidi" w:hAnsiTheme="minorBidi"/>
          <w:sz w:val="24"/>
          <w:szCs w:val="24"/>
        </w:rPr>
        <w:t>piperine</w:t>
      </w:r>
      <w:proofErr w:type="spellEnd"/>
      <w:r w:rsidRPr="002634BA">
        <w:rPr>
          <w:rFonts w:asciiTheme="minorBidi" w:hAnsiTheme="minorBidi"/>
          <w:sz w:val="24"/>
          <w:szCs w:val="24"/>
        </w:rPr>
        <w:t xml:space="preserve"> delivery to the brain. The elaborated system contained Caproyl 90 as oil, Tween 80, Cremophor RH 40 as surfactants and </w:t>
      </w:r>
      <w:proofErr w:type="spellStart"/>
      <w:r w:rsidRPr="002634BA">
        <w:rPr>
          <w:rFonts w:asciiTheme="minorBidi" w:hAnsiTheme="minorBidi"/>
          <w:sz w:val="24"/>
          <w:szCs w:val="24"/>
        </w:rPr>
        <w:t>Transcutol</w:t>
      </w:r>
      <w:proofErr w:type="spellEnd"/>
      <w:r w:rsidRPr="002634BA">
        <w:rPr>
          <w:rFonts w:asciiTheme="minorBidi" w:hAnsiTheme="minorBidi"/>
          <w:sz w:val="24"/>
          <w:szCs w:val="24"/>
        </w:rPr>
        <w:t xml:space="preserve"> HP as a co-surfactant. The particle size of the prepared formulations was less than 150 nm with negative zeta potential. The in vivo results showed a superior effect over the free drug. This work is the first to discuss the potential toxicity of Microemulsion where the results of toxicological studies revealed a potential nephrotoxicity although the used doses were within the reported safety margins. Brain toxicity results on the other hand showed safety of </w:t>
      </w:r>
      <w:r w:rsidR="00AB2898">
        <w:rPr>
          <w:rFonts w:asciiTheme="minorBidi" w:hAnsiTheme="minorBidi"/>
          <w:sz w:val="24"/>
          <w:szCs w:val="24"/>
        </w:rPr>
        <w:t>nanocarriers</w:t>
      </w:r>
      <w:r w:rsidRPr="002634BA">
        <w:rPr>
          <w:rFonts w:asciiTheme="minorBidi" w:hAnsiTheme="minorBidi"/>
          <w:sz w:val="24"/>
          <w:szCs w:val="24"/>
        </w:rPr>
        <w:t xml:space="preserve"> on brain cells. The current article highlighted an imperative question mark on use of ME in chronic diseases. High surfactant content acts as a double weapon that not only increase bioavailability but nephrotoxicity as well.</w:t>
      </w:r>
    </w:p>
    <w:sectPr w:rsidR="00B07847" w:rsidRPr="00263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47"/>
    <w:rsid w:val="002634BA"/>
    <w:rsid w:val="00AB2898"/>
    <w:rsid w:val="00B078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413C"/>
  <w15:chartTrackingRefBased/>
  <w15:docId w15:val="{E11FF85E-2D1A-4947-8564-6ECB389A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Yosra</dc:creator>
  <cp:keywords/>
  <dc:description/>
  <cp:lastModifiedBy>Yosra</cp:lastModifiedBy>
  <cp:revision>3</cp:revision>
  <dcterms:created xsi:type="dcterms:W3CDTF">2023-06-02T12:32:00Z</dcterms:created>
  <dcterms:modified xsi:type="dcterms:W3CDTF">2023-06-02T12:45:00Z</dcterms:modified>
</cp:coreProperties>
</file>