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0DA" w:rsidRPr="000D2BE3" w:rsidRDefault="004360DA" w:rsidP="004921FE">
      <w:pPr>
        <w:autoSpaceDE w:val="0"/>
        <w:autoSpaceDN w:val="0"/>
        <w:adjustRightInd w:val="0"/>
        <w:spacing w:after="0" w:line="240" w:lineRule="auto"/>
        <w:rPr>
          <w:rFonts w:ascii="URWPalladioL-Ital" w:hAnsi="URWPalladioL-Ital" w:cs="URWPalladioL-Ital"/>
          <w:b/>
          <w:bCs/>
          <w:color w:val="FF0000"/>
          <w:sz w:val="20"/>
          <w:szCs w:val="20"/>
        </w:rPr>
      </w:pPr>
      <w:r w:rsidRPr="000D2BE3">
        <w:rPr>
          <w:rFonts w:ascii="URWPalladioL-Ital" w:hAnsi="URWPalladioL-Ital" w:cs="URWPalladioL-Ital"/>
          <w:b/>
          <w:bCs/>
          <w:color w:val="FF0000"/>
          <w:sz w:val="20"/>
          <w:szCs w:val="20"/>
        </w:rPr>
        <w:t>THIS REVIEW IS ALREADY PUBLISHED IN MOLECULES JOURNAL</w:t>
      </w:r>
    </w:p>
    <w:p w:rsidR="004360DA" w:rsidRPr="004360DA" w:rsidRDefault="004360DA" w:rsidP="004921FE">
      <w:pPr>
        <w:autoSpaceDE w:val="0"/>
        <w:autoSpaceDN w:val="0"/>
        <w:adjustRightInd w:val="0"/>
        <w:spacing w:after="0" w:line="240" w:lineRule="auto"/>
        <w:rPr>
          <w:rFonts w:ascii="URWPalladioL-Ital" w:hAnsi="URWPalladioL-Ital" w:cs="URWPalladioL-Ital"/>
          <w:b/>
          <w:bCs/>
          <w:color w:val="000000"/>
          <w:sz w:val="20"/>
          <w:szCs w:val="20"/>
        </w:rPr>
      </w:pP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URWPalladioL-Ital" w:hAnsi="URWPalladioL-Ital" w:cs="URWPalladioL-Ital"/>
          <w:color w:val="000000"/>
          <w:sz w:val="20"/>
          <w:szCs w:val="20"/>
        </w:rPr>
      </w:pPr>
      <w:r>
        <w:rPr>
          <w:rFonts w:ascii="URWPalladioL-Ital" w:hAnsi="URWPalladioL-Ital" w:cs="URWPalladioL-Ital"/>
          <w:color w:val="000000"/>
          <w:sz w:val="20"/>
          <w:szCs w:val="20"/>
        </w:rPr>
        <w:t>Review</w:t>
      </w: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URWPalladioL-Bold" w:hAnsi="URWPalladioL-Bold" w:cs="URWPalladioL-Bold"/>
          <w:b/>
          <w:bCs/>
          <w:color w:val="000000"/>
          <w:sz w:val="36"/>
          <w:szCs w:val="36"/>
        </w:rPr>
      </w:pPr>
      <w:r>
        <w:rPr>
          <w:rFonts w:ascii="URWPalladioL-Bold" w:hAnsi="URWPalladioL-Bold" w:cs="URWPalladioL-Bold"/>
          <w:b/>
          <w:bCs/>
          <w:color w:val="000000"/>
          <w:sz w:val="36"/>
          <w:szCs w:val="36"/>
        </w:rPr>
        <w:t>Dopamine and Levodopa Prodrugs for the Treatment</w:t>
      </w: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URWPalladioL-Bold" w:hAnsi="URWPalladioL-Bold" w:cs="URWPalladioL-Bold"/>
          <w:b/>
          <w:bCs/>
          <w:color w:val="000000"/>
          <w:sz w:val="36"/>
          <w:szCs w:val="36"/>
        </w:rPr>
      </w:pPr>
      <w:r>
        <w:rPr>
          <w:rFonts w:ascii="URWPalladioL-Bold" w:hAnsi="URWPalladioL-Bold" w:cs="URWPalladioL-Bold"/>
          <w:b/>
          <w:bCs/>
          <w:color w:val="000000"/>
          <w:sz w:val="36"/>
          <w:szCs w:val="36"/>
        </w:rPr>
        <w:t>of Parkinson’s Disease</w:t>
      </w: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TeXGyreAdventor-Bold" w:hAnsi="TeXGyreAdventor-Bold" w:cs="TeXGyreAdventor-Bold"/>
          <w:b/>
          <w:bCs/>
          <w:color w:val="FFFFFF"/>
          <w:sz w:val="10"/>
          <w:szCs w:val="10"/>
        </w:rPr>
      </w:pPr>
      <w:proofErr w:type="spellStart"/>
      <w:r>
        <w:rPr>
          <w:rFonts w:ascii="URWPalladioL-Bold" w:hAnsi="URWPalladioL-Bold" w:cs="URWPalladioL-Bold"/>
          <w:b/>
          <w:bCs/>
          <w:color w:val="000000"/>
          <w:sz w:val="20"/>
          <w:szCs w:val="20"/>
        </w:rPr>
        <w:t>Fatma</w:t>
      </w:r>
      <w:proofErr w:type="spellEnd"/>
      <w:r>
        <w:rPr>
          <w:rFonts w:ascii="URWPalladioL-Bold" w:hAnsi="URWPalladioL-Bold" w:cs="URWPalladioL-Bold"/>
          <w:b/>
          <w:bCs/>
          <w:color w:val="000000"/>
          <w:sz w:val="20"/>
          <w:szCs w:val="20"/>
        </w:rPr>
        <w:t xml:space="preserve"> Haddad, Maryam Sawalha, </w:t>
      </w:r>
      <w:proofErr w:type="spellStart"/>
      <w:r>
        <w:rPr>
          <w:rFonts w:ascii="URWPalladioL-Bold" w:hAnsi="URWPalladioL-Bold" w:cs="URWPalladioL-Bold"/>
          <w:b/>
          <w:bCs/>
          <w:color w:val="000000"/>
          <w:sz w:val="20"/>
          <w:szCs w:val="20"/>
        </w:rPr>
        <w:t>Yahya</w:t>
      </w:r>
      <w:proofErr w:type="spellEnd"/>
      <w:r>
        <w:rPr>
          <w:rFonts w:ascii="URWPalladioL-Bold" w:hAnsi="URWPalladioL-Bold" w:cs="URWPalladioL-Bold"/>
          <w:b/>
          <w:bCs/>
          <w:color w:val="000000"/>
          <w:sz w:val="20"/>
          <w:szCs w:val="20"/>
        </w:rPr>
        <w:t xml:space="preserve"> Khawaja, </w:t>
      </w:r>
      <w:proofErr w:type="spellStart"/>
      <w:r>
        <w:rPr>
          <w:rFonts w:ascii="URWPalladioL-Bold" w:hAnsi="URWPalladioL-Bold" w:cs="URWPalladioL-Bold"/>
          <w:b/>
          <w:bCs/>
          <w:color w:val="000000"/>
          <w:sz w:val="20"/>
          <w:szCs w:val="20"/>
        </w:rPr>
        <w:t>Anas</w:t>
      </w:r>
      <w:proofErr w:type="spellEnd"/>
      <w:r>
        <w:rPr>
          <w:rFonts w:ascii="URWPalladioL-Bold" w:hAnsi="URWPalladioL-Bold" w:cs="URWPalladioL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URWPalladioL-Bold" w:hAnsi="URWPalladioL-Bold" w:cs="URWPalladioL-Bold"/>
          <w:b/>
          <w:bCs/>
          <w:color w:val="000000"/>
          <w:sz w:val="20"/>
          <w:szCs w:val="20"/>
        </w:rPr>
        <w:t>Najjar</w:t>
      </w:r>
      <w:proofErr w:type="spellEnd"/>
      <w:r>
        <w:rPr>
          <w:rFonts w:ascii="URWPalladioL-Bold" w:hAnsi="URWPalladioL-Bold" w:cs="URWPalladioL-Bold"/>
          <w:b/>
          <w:bCs/>
          <w:color w:val="000000"/>
          <w:sz w:val="20"/>
          <w:szCs w:val="20"/>
        </w:rPr>
        <w:t xml:space="preserve"> and </w:t>
      </w:r>
      <w:proofErr w:type="spellStart"/>
      <w:r>
        <w:rPr>
          <w:rFonts w:ascii="URWPalladioL-Bold" w:hAnsi="URWPalladioL-Bold" w:cs="URWPalladioL-Bold"/>
          <w:b/>
          <w:bCs/>
          <w:color w:val="000000"/>
          <w:sz w:val="20"/>
          <w:szCs w:val="20"/>
        </w:rPr>
        <w:t>Rafik</w:t>
      </w:r>
      <w:proofErr w:type="spellEnd"/>
      <w:r>
        <w:rPr>
          <w:rFonts w:ascii="URWPalladioL-Bold" w:hAnsi="URWPalladioL-Bold" w:cs="URWPalladioL-Bold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URWPalladioL-Bold" w:hAnsi="URWPalladioL-Bold" w:cs="URWPalladioL-Bold"/>
          <w:b/>
          <w:bCs/>
          <w:color w:val="000000"/>
          <w:sz w:val="20"/>
          <w:szCs w:val="20"/>
        </w:rPr>
        <w:t>Karaman</w:t>
      </w:r>
      <w:proofErr w:type="spellEnd"/>
      <w:r>
        <w:rPr>
          <w:rFonts w:ascii="URWPalladioL-Bold" w:hAnsi="URWPalladioL-Bold" w:cs="URWPalladioL-Bold"/>
          <w:b/>
          <w:bCs/>
          <w:color w:val="000000"/>
          <w:sz w:val="20"/>
          <w:szCs w:val="20"/>
        </w:rPr>
        <w:t xml:space="preserve"> * </w:t>
      </w:r>
      <w:r>
        <w:rPr>
          <w:rFonts w:ascii="TeXGyreAdventor-Bold" w:hAnsi="TeXGyreAdventor-Bold" w:cs="TeXGyreAdventor-Bold"/>
          <w:b/>
          <w:bCs/>
          <w:color w:val="FFFFFF"/>
          <w:sz w:val="10"/>
          <w:szCs w:val="10"/>
        </w:rPr>
        <w:t>ID</w:t>
      </w: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TeXGyreAdventor-Bold" w:hAnsi="TeXGyreAdventor-Bold" w:cs="TeXGyreAdventor-Bold"/>
          <w:b/>
          <w:bCs/>
          <w:color w:val="FFFFFF"/>
          <w:sz w:val="10"/>
          <w:szCs w:val="10"/>
        </w:rPr>
      </w:pP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color w:val="000000"/>
          <w:sz w:val="18"/>
          <w:szCs w:val="18"/>
        </w:rPr>
      </w:pPr>
      <w:r>
        <w:rPr>
          <w:rFonts w:ascii="URWPalladioL-Roma" w:hAnsi="URWPalladioL-Roma" w:cs="URWPalladioL-Roma"/>
          <w:color w:val="000000"/>
          <w:sz w:val="18"/>
          <w:szCs w:val="18"/>
        </w:rPr>
        <w:t>Department of Bioorganic &amp; Pharmaceutical Chemistry, Faculty of Pharmacy, Al-Quds University,</w:t>
      </w: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color w:val="000000"/>
          <w:sz w:val="18"/>
          <w:szCs w:val="18"/>
        </w:rPr>
      </w:pPr>
      <w:r>
        <w:rPr>
          <w:rFonts w:ascii="URWPalladioL-Roma" w:hAnsi="URWPalladioL-Roma" w:cs="URWPalladioL-Roma"/>
          <w:color w:val="000000"/>
          <w:sz w:val="18"/>
          <w:szCs w:val="18"/>
        </w:rPr>
        <w:t>Jerusalem P.O. Box 20002, Palestine; iamfromhebron@hotmail.com (F.H.); maryam_khaled2@yahoo.com (M.S.);</w:t>
      </w: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color w:val="000000"/>
          <w:sz w:val="18"/>
          <w:szCs w:val="18"/>
        </w:rPr>
      </w:pPr>
      <w:r>
        <w:rPr>
          <w:rFonts w:ascii="URWPalladioL-Roma" w:hAnsi="URWPalladioL-Roma" w:cs="URWPalladioL-Roma"/>
          <w:color w:val="000000"/>
          <w:sz w:val="18"/>
          <w:szCs w:val="18"/>
        </w:rPr>
        <w:t>yahya.khawaja@hotmail.com (Y.K.); nash.najjar@gmail.com (A.N.)</w:t>
      </w: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color w:val="000000"/>
          <w:sz w:val="18"/>
          <w:szCs w:val="18"/>
        </w:rPr>
      </w:pPr>
      <w:r>
        <w:rPr>
          <w:rFonts w:ascii="URWPalladioL-Bold" w:hAnsi="URWPalladioL-Bold" w:cs="URWPalladioL-Bold"/>
          <w:b/>
          <w:bCs/>
          <w:color w:val="000000"/>
          <w:sz w:val="18"/>
          <w:szCs w:val="18"/>
        </w:rPr>
        <w:t xml:space="preserve">* </w:t>
      </w:r>
      <w:r>
        <w:rPr>
          <w:rFonts w:ascii="URWPalladioL-Roma" w:hAnsi="URWPalladioL-Roma" w:cs="URWPalladioL-Roma"/>
          <w:color w:val="000000"/>
          <w:sz w:val="18"/>
          <w:szCs w:val="18"/>
        </w:rPr>
        <w:t>Correspondence: dr_karaman@yahoo.com or rkaraman@staff.alquds.edu</w:t>
      </w: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color w:val="000000"/>
          <w:sz w:val="18"/>
          <w:szCs w:val="18"/>
        </w:rPr>
      </w:pPr>
      <w:r>
        <w:rPr>
          <w:rFonts w:ascii="URWPalladioL-Roma" w:hAnsi="URWPalladioL-Roma" w:cs="URWPalladioL-Roma"/>
          <w:color w:val="000000"/>
          <w:sz w:val="18"/>
          <w:szCs w:val="18"/>
        </w:rPr>
        <w:t>Received: 4 December 2017; Accepted: 20 December 2017; Published: 25 December 2017</w:t>
      </w:r>
    </w:p>
    <w:p w:rsidR="0022174F" w:rsidRDefault="0022174F" w:rsidP="0022174F">
      <w:pPr>
        <w:rPr>
          <w:rFonts w:ascii="URWPalladioL-Bold" w:hAnsi="URWPalladioL-Bold" w:cs="URWPalladioL-Bold"/>
          <w:b/>
          <w:bCs/>
          <w:color w:val="000000"/>
          <w:sz w:val="20"/>
          <w:szCs w:val="20"/>
        </w:rPr>
      </w:pPr>
    </w:p>
    <w:p w:rsidR="0022174F" w:rsidRDefault="0022174F" w:rsidP="0022174F">
      <w:r>
        <w:rPr>
          <w:rFonts w:ascii="URWPalladioL-Bold" w:hAnsi="URWPalladioL-Bold" w:cs="URWPalladioL-Bold"/>
          <w:b/>
          <w:bCs/>
          <w:color w:val="000000"/>
          <w:sz w:val="20"/>
          <w:szCs w:val="20"/>
        </w:rPr>
        <w:t xml:space="preserve">Keywords: </w:t>
      </w:r>
      <w:r>
        <w:rPr>
          <w:rFonts w:ascii="URWPalladioL-Roma" w:hAnsi="URWPalladioL-Roma" w:cs="URWPalladioL-Roma"/>
          <w:color w:val="000000"/>
          <w:sz w:val="20"/>
          <w:szCs w:val="20"/>
        </w:rPr>
        <w:t>dopamine; levodopa; prodrug; Parkinson’s disease; blood brain barrier</w:t>
      </w:r>
    </w:p>
    <w:p w:rsidR="0022174F" w:rsidRDefault="0022174F" w:rsidP="004921FE">
      <w:pPr>
        <w:autoSpaceDE w:val="0"/>
        <w:autoSpaceDN w:val="0"/>
        <w:adjustRightInd w:val="0"/>
        <w:spacing w:after="0" w:line="240" w:lineRule="auto"/>
        <w:rPr>
          <w:rFonts w:ascii="URWPalladioL-Bold" w:hAnsi="URWPalladioL-Bold" w:cs="URWPalladioL-Bold"/>
          <w:b/>
          <w:bCs/>
          <w:color w:val="000000"/>
          <w:sz w:val="20"/>
          <w:szCs w:val="20"/>
        </w:rPr>
      </w:pPr>
    </w:p>
    <w:p w:rsidR="0022174F" w:rsidRDefault="0022174F" w:rsidP="004921FE">
      <w:pPr>
        <w:autoSpaceDE w:val="0"/>
        <w:autoSpaceDN w:val="0"/>
        <w:adjustRightInd w:val="0"/>
        <w:spacing w:after="0" w:line="240" w:lineRule="auto"/>
        <w:rPr>
          <w:rFonts w:ascii="URWPalladioL-Bold" w:hAnsi="URWPalladioL-Bold" w:cs="URWPalladioL-Bold"/>
          <w:b/>
          <w:bCs/>
          <w:color w:val="000000"/>
          <w:sz w:val="20"/>
          <w:szCs w:val="20"/>
        </w:rPr>
      </w:pP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color w:val="000000"/>
          <w:sz w:val="20"/>
          <w:szCs w:val="20"/>
        </w:rPr>
      </w:pPr>
      <w:r>
        <w:rPr>
          <w:rFonts w:ascii="URWPalladioL-Bold" w:hAnsi="URWPalladioL-Bold" w:cs="URWPalladioL-Bold"/>
          <w:b/>
          <w:bCs/>
          <w:color w:val="000000"/>
          <w:sz w:val="20"/>
          <w:szCs w:val="20"/>
        </w:rPr>
        <w:t xml:space="preserve">Abstract: </w:t>
      </w:r>
      <w:r>
        <w:rPr>
          <w:rFonts w:ascii="URWPalladioL-Ital" w:hAnsi="URWPalladioL-Ital" w:cs="URWPalladioL-Ital"/>
          <w:color w:val="000000"/>
          <w:sz w:val="20"/>
          <w:szCs w:val="20"/>
        </w:rPr>
        <w:t>Background</w:t>
      </w:r>
      <w:r>
        <w:rPr>
          <w:rFonts w:ascii="URWPalladioL-Roma" w:hAnsi="URWPalladioL-Roma" w:cs="URWPalladioL-Roma"/>
          <w:color w:val="000000"/>
          <w:sz w:val="20"/>
          <w:szCs w:val="20"/>
        </w:rPr>
        <w:t>: Parkinson’s disease is an aggressive and progressive neurodegenerative</w:t>
      </w: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color w:val="000000"/>
          <w:sz w:val="20"/>
          <w:szCs w:val="20"/>
        </w:rPr>
      </w:pPr>
      <w:r>
        <w:rPr>
          <w:rFonts w:ascii="URWPalladioL-Roma" w:hAnsi="URWPalladioL-Roma" w:cs="URWPalladioL-Roma"/>
          <w:color w:val="000000"/>
          <w:sz w:val="20"/>
          <w:szCs w:val="20"/>
        </w:rPr>
        <w:t>disorder that depletes dopamine (DA) in the central nervous system. Dopamine replacement</w:t>
      </w: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color w:val="000000"/>
          <w:sz w:val="20"/>
          <w:szCs w:val="20"/>
        </w:rPr>
      </w:pPr>
      <w:r>
        <w:rPr>
          <w:rFonts w:ascii="URWPalladioL-Roma" w:hAnsi="URWPalladioL-Roma" w:cs="URWPalladioL-Roma"/>
          <w:color w:val="000000"/>
          <w:sz w:val="20"/>
          <w:szCs w:val="20"/>
        </w:rPr>
        <w:t xml:space="preserve">therapy, mainly through actual dopamine and its original prodrug </w:t>
      </w:r>
      <w:r>
        <w:rPr>
          <w:rFonts w:ascii="URWPalladioL-Roma" w:hAnsi="URWPalladioL-Roma" w:cs="URWPalladioL-Roma"/>
          <w:color w:val="000000"/>
          <w:sz w:val="16"/>
          <w:szCs w:val="16"/>
        </w:rPr>
        <w:t>L</w:t>
      </w:r>
      <w:r>
        <w:rPr>
          <w:rFonts w:ascii="URWPalladioL-Roma" w:hAnsi="URWPalladioL-Roma" w:cs="URWPalladioL-Roma"/>
          <w:color w:val="000000"/>
          <w:sz w:val="20"/>
          <w:szCs w:val="20"/>
        </w:rPr>
        <w:t>-dopa (LD), faces many</w:t>
      </w: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color w:val="000000"/>
          <w:sz w:val="20"/>
          <w:szCs w:val="20"/>
        </w:rPr>
      </w:pPr>
      <w:r>
        <w:rPr>
          <w:rFonts w:ascii="URWPalladioL-Roma" w:hAnsi="URWPalladioL-Roma" w:cs="URWPalladioL-Roma"/>
          <w:color w:val="000000"/>
          <w:sz w:val="20"/>
          <w:szCs w:val="20"/>
        </w:rPr>
        <w:t>challenges such as poor blood brain barrier penetration and decreased response to therapy with time.</w:t>
      </w: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color w:val="000000"/>
          <w:sz w:val="20"/>
          <w:szCs w:val="20"/>
        </w:rPr>
      </w:pPr>
      <w:r>
        <w:rPr>
          <w:rFonts w:ascii="URWPalladioL-Ital" w:hAnsi="URWPalladioL-Ital" w:cs="URWPalladioL-Ital"/>
          <w:color w:val="000000"/>
          <w:sz w:val="20"/>
          <w:szCs w:val="20"/>
        </w:rPr>
        <w:t>Methods</w:t>
      </w:r>
      <w:r>
        <w:rPr>
          <w:rFonts w:ascii="URWPalladioL-Roma" w:hAnsi="URWPalladioL-Roma" w:cs="URWPalladioL-Roma"/>
          <w:color w:val="000000"/>
          <w:sz w:val="20"/>
          <w:szCs w:val="20"/>
        </w:rPr>
        <w:t>: The prodrugs described herein are ester, amide, dimeric amide, carrier-mediated, peptide</w:t>
      </w: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color w:val="000000"/>
          <w:sz w:val="20"/>
          <w:szCs w:val="20"/>
        </w:rPr>
      </w:pPr>
      <w:r>
        <w:rPr>
          <w:rFonts w:ascii="URWPalladioL-Roma" w:hAnsi="URWPalladioL-Roma" w:cs="URWPalladioL-Roma"/>
          <w:color w:val="000000"/>
          <w:sz w:val="20"/>
          <w:szCs w:val="20"/>
        </w:rPr>
        <w:t>transport-mediated, cyclic, chemical delivery systems and enzyme-models prodrugs designed and</w:t>
      </w: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color w:val="000000"/>
          <w:sz w:val="20"/>
          <w:szCs w:val="20"/>
        </w:rPr>
      </w:pPr>
      <w:r>
        <w:rPr>
          <w:rFonts w:ascii="URWPalladioL-Roma" w:hAnsi="URWPalladioL-Roma" w:cs="URWPalladioL-Roma"/>
          <w:color w:val="000000"/>
          <w:sz w:val="20"/>
          <w:szCs w:val="20"/>
        </w:rPr>
        <w:t xml:space="preserve">made by chemical means, and their bioavailability was studied in animals. </w:t>
      </w:r>
      <w:r>
        <w:rPr>
          <w:rFonts w:ascii="URWPalladioL-Ital" w:hAnsi="URWPalladioL-Ital" w:cs="URWPalladioL-Ital"/>
          <w:color w:val="000000"/>
          <w:sz w:val="20"/>
          <w:szCs w:val="20"/>
        </w:rPr>
        <w:t xml:space="preserve">Results: </w:t>
      </w:r>
      <w:r>
        <w:rPr>
          <w:rFonts w:ascii="URWPalladioL-Roma" w:hAnsi="URWPalladioL-Roma" w:cs="URWPalladioL-Roma"/>
          <w:color w:val="000000"/>
          <w:sz w:val="20"/>
          <w:szCs w:val="20"/>
        </w:rPr>
        <w:t>A promising</w:t>
      </w: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color w:val="000000"/>
          <w:sz w:val="20"/>
          <w:szCs w:val="20"/>
        </w:rPr>
      </w:pPr>
      <w:r>
        <w:rPr>
          <w:rFonts w:ascii="URWPalladioL-Roma" w:hAnsi="URWPalladioL-Roma" w:cs="URWPalladioL-Roma"/>
          <w:color w:val="000000"/>
          <w:sz w:val="20"/>
          <w:szCs w:val="20"/>
        </w:rPr>
        <w:t>ester prodrug for intranasal delivery has been developed. LD methyl ester is currently in Phase</w:t>
      </w: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color w:val="000000"/>
          <w:sz w:val="20"/>
          <w:szCs w:val="20"/>
        </w:rPr>
      </w:pPr>
      <w:r>
        <w:rPr>
          <w:rFonts w:ascii="URWPalladioL-Roma" w:hAnsi="URWPalladioL-Roma" w:cs="URWPalladioL-Roma"/>
          <w:color w:val="000000"/>
          <w:sz w:val="20"/>
          <w:szCs w:val="20"/>
        </w:rPr>
        <w:t>III clinical trials. A series of amide prodrugs were synthesized with better stability than ester</w:t>
      </w: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color w:val="000000"/>
          <w:sz w:val="20"/>
          <w:szCs w:val="20"/>
        </w:rPr>
      </w:pPr>
      <w:r>
        <w:rPr>
          <w:rFonts w:ascii="URWPalladioL-Roma" w:hAnsi="URWPalladioL-Roma" w:cs="URWPalladioL-Roma"/>
          <w:color w:val="000000"/>
          <w:sz w:val="20"/>
          <w:szCs w:val="20"/>
        </w:rPr>
        <w:t>prodrugs. Both amide and dimeric amide prodrugs offer enhanced blood brain barrier (BBB)</w:t>
      </w: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color w:val="000000"/>
          <w:sz w:val="20"/>
          <w:szCs w:val="20"/>
        </w:rPr>
      </w:pPr>
      <w:r>
        <w:rPr>
          <w:rFonts w:ascii="URWPalladioL-Roma" w:hAnsi="URWPalladioL-Roma" w:cs="URWPalladioL-Roma"/>
          <w:color w:val="000000"/>
          <w:sz w:val="20"/>
          <w:szCs w:val="20"/>
        </w:rPr>
        <w:t>penetration and better pharmacokinetics. Attaching LD to sugars has been used to exploit glucose</w:t>
      </w: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color w:val="000000"/>
          <w:sz w:val="20"/>
          <w:szCs w:val="20"/>
        </w:rPr>
      </w:pPr>
      <w:r>
        <w:rPr>
          <w:rFonts w:ascii="URWPalladioL-Roma" w:hAnsi="URWPalladioL-Roma" w:cs="URWPalladioL-Roma"/>
          <w:color w:val="000000"/>
          <w:sz w:val="20"/>
          <w:szCs w:val="20"/>
        </w:rPr>
        <w:t xml:space="preserve">transport mechanisms into the brain. </w:t>
      </w:r>
      <w:r>
        <w:rPr>
          <w:rFonts w:ascii="URWPalladioL-Ital" w:hAnsi="URWPalladioL-Ital" w:cs="URWPalladioL-Ital"/>
          <w:color w:val="000000"/>
          <w:sz w:val="20"/>
          <w:szCs w:val="20"/>
        </w:rPr>
        <w:t>Conclusions</w:t>
      </w:r>
      <w:r>
        <w:rPr>
          <w:rFonts w:ascii="URWPalladioL-Roma" w:hAnsi="URWPalladioL-Roma" w:cs="URWPalladioL-Roma"/>
          <w:color w:val="000000"/>
          <w:sz w:val="20"/>
          <w:szCs w:val="20"/>
        </w:rPr>
        <w:t>: Till now, no DA prodrug has reached the</w:t>
      </w: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color w:val="000000"/>
          <w:sz w:val="20"/>
          <w:szCs w:val="20"/>
        </w:rPr>
      </w:pPr>
      <w:r>
        <w:rPr>
          <w:rFonts w:ascii="URWPalladioL-Roma" w:hAnsi="URWPalladioL-Roma" w:cs="URWPalladioL-Roma"/>
          <w:color w:val="000000"/>
          <w:sz w:val="20"/>
          <w:szCs w:val="20"/>
        </w:rPr>
        <w:t>pharmaceutical market, nevertheless, the future of utilizing prodrugs for the treatment of PD seems to</w:t>
      </w: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color w:val="000000"/>
          <w:sz w:val="20"/>
          <w:szCs w:val="20"/>
        </w:rPr>
      </w:pPr>
      <w:r>
        <w:rPr>
          <w:rFonts w:ascii="URWPalladioL-Roma" w:hAnsi="URWPalladioL-Roma" w:cs="URWPalladioL-Roma"/>
          <w:color w:val="000000"/>
          <w:sz w:val="20"/>
          <w:szCs w:val="20"/>
        </w:rPr>
        <w:t>be bright. For instance, LD ester prodrugs have demonstrated an adequate intranasal delivery of LD,</w:t>
      </w: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color w:val="000000"/>
          <w:sz w:val="20"/>
          <w:szCs w:val="20"/>
        </w:rPr>
      </w:pPr>
      <w:r>
        <w:rPr>
          <w:rFonts w:ascii="URWPalladioL-Roma" w:hAnsi="URWPalladioL-Roma" w:cs="URWPalladioL-Roma"/>
          <w:color w:val="000000"/>
          <w:sz w:val="20"/>
          <w:szCs w:val="20"/>
        </w:rPr>
        <w:t>thus enabling the absorption of therapeutic agents to the brain. Most of the amide, cyclic, peptidyl or</w:t>
      </w:r>
    </w:p>
    <w:p w:rsidR="004921FE" w:rsidRDefault="004921FE" w:rsidP="004921FE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color w:val="000000"/>
          <w:sz w:val="20"/>
          <w:szCs w:val="20"/>
        </w:rPr>
      </w:pPr>
      <w:r>
        <w:rPr>
          <w:rFonts w:ascii="URWPalladioL-Roma" w:hAnsi="URWPalladioL-Roma" w:cs="URWPalladioL-Roma"/>
          <w:color w:val="000000"/>
          <w:sz w:val="20"/>
          <w:szCs w:val="20"/>
        </w:rPr>
        <w:t>chemical delivery systems of DA prodrugs demonstrated enhanced pharmacokinetic properties.</w:t>
      </w:r>
    </w:p>
    <w:p w:rsidR="0022174F" w:rsidRDefault="0022174F"/>
    <w:p w:rsidR="0022174F" w:rsidRDefault="0022174F">
      <w:r>
        <w:rPr>
          <w:noProof/>
        </w:rPr>
        <w:drawing>
          <wp:inline distT="0" distB="0" distL="0" distR="0">
            <wp:extent cx="5295569" cy="2597691"/>
            <wp:effectExtent l="0" t="0" r="635" b="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1679" cy="2600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DFC" w:rsidRDefault="00460DFC" w:rsidP="00460DFC">
      <w:pPr>
        <w:pStyle w:val="Default"/>
      </w:pPr>
    </w:p>
    <w:p w:rsidR="00460DFC" w:rsidRDefault="00460DFC" w:rsidP="00460DFC">
      <w:pPr>
        <w:pStyle w:val="Default"/>
      </w:pPr>
      <w:r>
        <w:t xml:space="preserve"> </w:t>
      </w:r>
    </w:p>
    <w:p w:rsidR="00460DFC" w:rsidRDefault="00460DFC" w:rsidP="00460DFC">
      <w:pPr>
        <w:pStyle w:val="Default"/>
        <w:rPr>
          <w:sz w:val="19"/>
          <w:szCs w:val="19"/>
        </w:rPr>
      </w:pPr>
      <w:r>
        <w:rPr>
          <w:b/>
          <w:bCs/>
          <w:sz w:val="19"/>
          <w:szCs w:val="19"/>
        </w:rPr>
        <w:t xml:space="preserve">V. Presenting author details </w:t>
      </w:r>
    </w:p>
    <w:p w:rsidR="00460DFC" w:rsidRDefault="000D2BE3" w:rsidP="00460DFC">
      <w:pPr>
        <w:pStyle w:val="Default"/>
        <w:rPr>
          <w:sz w:val="19"/>
          <w:szCs w:val="19"/>
        </w:rPr>
      </w:pPr>
      <w:r>
        <w:rPr>
          <w:sz w:val="19"/>
          <w:szCs w:val="19"/>
        </w:rPr>
        <w:t>Maryam Khaled Sawalha</w:t>
      </w:r>
    </w:p>
    <w:p w:rsidR="00460DFC" w:rsidRDefault="000D2BE3" w:rsidP="00460DFC">
      <w:pPr>
        <w:pStyle w:val="Default"/>
        <w:rPr>
          <w:sz w:val="19"/>
          <w:szCs w:val="19"/>
        </w:rPr>
      </w:pPr>
      <w:r>
        <w:rPr>
          <w:sz w:val="19"/>
          <w:szCs w:val="19"/>
        </w:rPr>
        <w:t>00970597264925</w:t>
      </w:r>
    </w:p>
    <w:p w:rsidR="00460DFC" w:rsidRDefault="000D2BE3" w:rsidP="00460DFC">
      <w:pPr>
        <w:pStyle w:val="Default"/>
        <w:rPr>
          <w:sz w:val="19"/>
          <w:szCs w:val="19"/>
        </w:rPr>
      </w:pPr>
      <w:r>
        <w:rPr>
          <w:sz w:val="19"/>
          <w:szCs w:val="19"/>
        </w:rPr>
        <w:t>(</w:t>
      </w:r>
      <w:r w:rsidR="00460DFC">
        <w:rPr>
          <w:sz w:val="19"/>
          <w:szCs w:val="19"/>
        </w:rPr>
        <w:t xml:space="preserve">Oral presentation/ Poster presentation) </w:t>
      </w:r>
      <w:r>
        <w:rPr>
          <w:sz w:val="19"/>
          <w:szCs w:val="19"/>
        </w:rPr>
        <w:t>either is fine.</w:t>
      </w:r>
      <w:bookmarkStart w:id="0" w:name="_GoBack"/>
      <w:bookmarkEnd w:id="0"/>
    </w:p>
    <w:p w:rsidR="00460DFC" w:rsidRDefault="00460DFC" w:rsidP="00460DFC">
      <w:r>
        <w:rPr>
          <w:sz w:val="19"/>
          <w:szCs w:val="19"/>
        </w:rPr>
        <w:t>Passport Number</w:t>
      </w:r>
      <w:r>
        <w:rPr>
          <w:sz w:val="18"/>
          <w:szCs w:val="18"/>
        </w:rPr>
        <w:t>:</w:t>
      </w:r>
      <w:r w:rsidR="000D2BE3">
        <w:rPr>
          <w:sz w:val="18"/>
          <w:szCs w:val="18"/>
        </w:rPr>
        <w:t xml:space="preserve"> 3311852</w:t>
      </w:r>
    </w:p>
    <w:sectPr w:rsidR="00460D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RWPalladioL-Ita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RWPalladioL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eXGyreAdventor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RWPalladioL-Rom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1FE"/>
    <w:rsid w:val="000D2BE3"/>
    <w:rsid w:val="0022174F"/>
    <w:rsid w:val="004360DA"/>
    <w:rsid w:val="00460DFC"/>
    <w:rsid w:val="004921FE"/>
    <w:rsid w:val="008B1E2D"/>
    <w:rsid w:val="00AE2009"/>
    <w:rsid w:val="00E76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21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22174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60D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21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22174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60D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actc</dc:creator>
  <cp:lastModifiedBy>actc</cp:lastModifiedBy>
  <cp:revision>7</cp:revision>
  <dcterms:created xsi:type="dcterms:W3CDTF">2018-03-26T13:21:00Z</dcterms:created>
  <dcterms:modified xsi:type="dcterms:W3CDTF">2018-04-01T13:39:00Z</dcterms:modified>
</cp:coreProperties>
</file>