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B77" w:rsidRDefault="009E4B77" w:rsidP="009E4B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Home Enteral Nutrition in Elderly with Severe Dementia</w:t>
      </w:r>
    </w:p>
    <w:p w:rsidR="009E4B77" w:rsidRDefault="009E4B77" w:rsidP="009E4B77">
      <w:pPr>
        <w:jc w:val="both"/>
        <w:rPr>
          <w:rFonts w:ascii="Times New Roman" w:hAnsi="Times New Roman"/>
          <w:b/>
          <w:color w:val="222222"/>
          <w:sz w:val="24"/>
          <w:szCs w:val="24"/>
          <w:vertAlign w:val="superscript"/>
        </w:rPr>
      </w:pPr>
      <w:r>
        <w:rPr>
          <w:rFonts w:ascii="Times New Roman" w:hAnsi="Times New Roman"/>
          <w:b/>
          <w:color w:val="222222"/>
          <w:sz w:val="24"/>
          <w:szCs w:val="24"/>
          <w:lang w:val="hr-BA"/>
        </w:rPr>
        <w:t>Paolo Orlandoni</w:t>
      </w:r>
      <w:r w:rsidRPr="007C37E6"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  <w:bookmarkStart w:id="0" w:name="_GoBack"/>
      <w:bookmarkEnd w:id="0"/>
      <w:r w:rsidRPr="007C37E6">
        <w:rPr>
          <w:rFonts w:ascii="Times New Roman" w:hAnsi="Times New Roman"/>
          <w:b/>
          <w:color w:val="222222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color w:val="222222"/>
          <w:sz w:val="24"/>
          <w:szCs w:val="24"/>
        </w:rPr>
        <w:t>Nikolina</w:t>
      </w:r>
      <w:proofErr w:type="spellEnd"/>
      <w:r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222222"/>
          <w:sz w:val="24"/>
          <w:szCs w:val="24"/>
        </w:rPr>
        <w:t>Jukic</w:t>
      </w:r>
      <w:proofErr w:type="spellEnd"/>
      <w:r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color w:val="222222"/>
          <w:sz w:val="24"/>
          <w:szCs w:val="24"/>
        </w:rPr>
        <w:t>Peladic</w:t>
      </w:r>
      <w:proofErr w:type="spellEnd"/>
      <w:r w:rsidRPr="007C37E6">
        <w:rPr>
          <w:rFonts w:ascii="Times New Roman" w:hAnsi="Times New Roman"/>
          <w:b/>
          <w:color w:val="222222"/>
          <w:sz w:val="24"/>
          <w:szCs w:val="24"/>
        </w:rPr>
        <w:t xml:space="preserve">, </w:t>
      </w:r>
      <w:r>
        <w:rPr>
          <w:rFonts w:ascii="Times New Roman" w:hAnsi="Times New Roman"/>
          <w:b/>
          <w:color w:val="222222"/>
          <w:sz w:val="24"/>
          <w:szCs w:val="24"/>
        </w:rPr>
        <w:t>Mirco di Rosa,</w:t>
      </w:r>
      <w:r>
        <w:rPr>
          <w:rFonts w:ascii="Times New Roman" w:hAnsi="Times New Roman"/>
          <w:b/>
          <w:color w:val="222222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/>
          <w:color w:val="222222"/>
          <w:sz w:val="24"/>
          <w:szCs w:val="24"/>
        </w:rPr>
        <w:t>Claudia Venturini</w:t>
      </w:r>
      <w:r w:rsidRPr="00677199">
        <w:rPr>
          <w:rFonts w:ascii="Times New Roman" w:hAnsi="Times New Roman"/>
          <w:b/>
          <w:color w:val="222222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/>
          <w:color w:val="222222"/>
          <w:sz w:val="24"/>
          <w:szCs w:val="24"/>
        </w:rPr>
        <w:t xml:space="preserve">, Claudia Cola, Debora </w:t>
      </w:r>
      <w:proofErr w:type="spellStart"/>
      <w:r>
        <w:rPr>
          <w:rFonts w:ascii="Times New Roman" w:hAnsi="Times New Roman"/>
          <w:b/>
          <w:color w:val="222222"/>
          <w:sz w:val="24"/>
          <w:szCs w:val="24"/>
        </w:rPr>
        <w:t>Sparvoli</w:t>
      </w:r>
      <w:proofErr w:type="spellEnd"/>
      <w:r>
        <w:rPr>
          <w:rFonts w:ascii="Times New Roman" w:hAnsi="Times New Roman"/>
          <w:b/>
          <w:color w:val="222222"/>
          <w:sz w:val="24"/>
          <w:szCs w:val="24"/>
        </w:rPr>
        <w:t xml:space="preserve">, Natascia Giorgini, Redenta Basile , </w:t>
      </w:r>
      <w:r w:rsidRPr="007C37E6">
        <w:rPr>
          <w:rFonts w:ascii="Times New Roman" w:hAnsi="Times New Roman"/>
          <w:b/>
          <w:color w:val="222222"/>
          <w:sz w:val="24"/>
          <w:szCs w:val="24"/>
        </w:rPr>
        <w:t>Donata Fagnani</w:t>
      </w:r>
    </w:p>
    <w:p w:rsidR="009E4B77" w:rsidRPr="007C37E6" w:rsidRDefault="009E4B77" w:rsidP="009E4B77">
      <w:pPr>
        <w:jc w:val="both"/>
        <w:rPr>
          <w:rFonts w:ascii="Times New Roman" w:hAnsi="Times New Roman"/>
          <w:b/>
          <w:color w:val="222222"/>
          <w:sz w:val="24"/>
          <w:szCs w:val="24"/>
        </w:rPr>
      </w:pPr>
      <w:r w:rsidRPr="009766AE">
        <w:rPr>
          <w:sz w:val="24"/>
          <w:szCs w:val="24"/>
        </w:rPr>
        <w:t xml:space="preserve">Clinical </w:t>
      </w:r>
      <w:r w:rsidRPr="007C37E6">
        <w:rPr>
          <w:rFonts w:ascii="Times New Roman" w:hAnsi="Times New Roman"/>
          <w:sz w:val="24"/>
          <w:szCs w:val="24"/>
        </w:rPr>
        <w:t>Nutrition Unit,</w:t>
      </w:r>
      <w:r w:rsidRPr="007C37E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C37E6">
        <w:rPr>
          <w:rFonts w:ascii="Times New Roman" w:hAnsi="Times New Roman"/>
          <w:sz w:val="24"/>
          <w:szCs w:val="24"/>
        </w:rPr>
        <w:t>Regional</w:t>
      </w:r>
      <w:proofErr w:type="spellEnd"/>
      <w:r w:rsidRPr="007C37E6">
        <w:rPr>
          <w:rFonts w:ascii="Times New Roman" w:hAnsi="Times New Roman"/>
          <w:b/>
          <w:sz w:val="24"/>
          <w:szCs w:val="24"/>
        </w:rPr>
        <w:t xml:space="preserve"> </w:t>
      </w:r>
      <w:r w:rsidRPr="007C37E6">
        <w:rPr>
          <w:rFonts w:ascii="Times New Roman" w:hAnsi="Times New Roman"/>
          <w:sz w:val="24"/>
          <w:szCs w:val="24"/>
        </w:rPr>
        <w:t xml:space="preserve">Reference Centre for Home </w:t>
      </w:r>
      <w:proofErr w:type="spellStart"/>
      <w:r w:rsidRPr="007C37E6">
        <w:rPr>
          <w:rFonts w:ascii="Times New Roman" w:hAnsi="Times New Roman"/>
          <w:sz w:val="24"/>
          <w:szCs w:val="24"/>
        </w:rPr>
        <w:t>Artificial</w:t>
      </w:r>
      <w:proofErr w:type="spellEnd"/>
      <w:r w:rsidRPr="007C37E6">
        <w:rPr>
          <w:rFonts w:ascii="Times New Roman" w:hAnsi="Times New Roman"/>
          <w:sz w:val="24"/>
          <w:szCs w:val="24"/>
        </w:rPr>
        <w:t xml:space="preserve"> Nutrition, INRCA, IRCCS Ancona, </w:t>
      </w:r>
      <w:r w:rsidRPr="007C37E6">
        <w:rPr>
          <w:rFonts w:ascii="Times New Roman" w:hAnsi="Times New Roman"/>
          <w:color w:val="000000"/>
          <w:sz w:val="24"/>
          <w:szCs w:val="24"/>
        </w:rPr>
        <w:t xml:space="preserve">Via Montagnola 81, 60100 </w:t>
      </w:r>
      <w:proofErr w:type="spellStart"/>
      <w:r w:rsidRPr="007C37E6">
        <w:rPr>
          <w:rFonts w:ascii="Times New Roman" w:hAnsi="Times New Roman"/>
          <w:color w:val="000000"/>
          <w:sz w:val="24"/>
          <w:szCs w:val="24"/>
        </w:rPr>
        <w:t>Italy</w:t>
      </w:r>
      <w:proofErr w:type="spellEnd"/>
      <w:r w:rsidRPr="007C37E6">
        <w:rPr>
          <w:rFonts w:ascii="Times New Roman" w:hAnsi="Times New Roman"/>
          <w:color w:val="000000"/>
          <w:sz w:val="24"/>
          <w:szCs w:val="24"/>
        </w:rPr>
        <w:t xml:space="preserve">, </w:t>
      </w:r>
      <w:hyperlink r:id="rId5" w:history="1">
        <w:r w:rsidRPr="007C37E6">
          <w:rPr>
            <w:rStyle w:val="Collegamentoipertestuale"/>
            <w:rFonts w:ascii="Times New Roman" w:hAnsi="Times New Roman"/>
            <w:sz w:val="24"/>
            <w:szCs w:val="24"/>
          </w:rPr>
          <w:t>p.orlandoni@inrca.it</w:t>
        </w:r>
      </w:hyperlink>
    </w:p>
    <w:p w:rsidR="0001778E" w:rsidRPr="006A7699" w:rsidRDefault="003379BC" w:rsidP="009E4B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A7699">
        <w:rPr>
          <w:rFonts w:ascii="Times New Roman" w:hAnsi="Times New Roman" w:cs="Times New Roman"/>
          <w:b/>
          <w:sz w:val="24"/>
          <w:szCs w:val="24"/>
          <w:lang w:val="en-GB"/>
        </w:rPr>
        <w:t>Rationale</w:t>
      </w:r>
      <w:r w:rsidR="003244A0" w:rsidRPr="006A7699">
        <w:rPr>
          <w:rFonts w:ascii="Times New Roman" w:hAnsi="Times New Roman" w:cs="Times New Roman"/>
          <w:b/>
          <w:sz w:val="24"/>
          <w:szCs w:val="24"/>
          <w:lang w:val="en-GB"/>
        </w:rPr>
        <w:t xml:space="preserve">: </w:t>
      </w:r>
      <w:r w:rsidR="00C071C0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There is a still open debate within the scientific community about the advisability of 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>artificial</w:t>
      </w:r>
      <w:r w:rsidR="00C071C0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>nutrition (AN)</w:t>
      </w:r>
      <w:r w:rsidR="000C642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="000C642F">
        <w:rPr>
          <w:rFonts w:ascii="Times New Roman" w:hAnsi="Times New Roman" w:cs="Times New Roman"/>
          <w:sz w:val="24"/>
          <w:szCs w:val="24"/>
          <w:lang w:val="en-GB"/>
        </w:rPr>
        <w:t xml:space="preserve">by </w:t>
      </w:r>
      <w:r w:rsidR="00C071C0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61532">
        <w:rPr>
          <w:rFonts w:ascii="Times New Roman" w:hAnsi="Times New Roman" w:cs="Times New Roman"/>
          <w:sz w:val="24"/>
          <w:szCs w:val="24"/>
          <w:lang w:val="en-GB"/>
        </w:rPr>
        <w:t>Percutaneous</w:t>
      </w:r>
      <w:proofErr w:type="gramEnd"/>
      <w:r w:rsidR="00C61532">
        <w:rPr>
          <w:rFonts w:ascii="Times New Roman" w:hAnsi="Times New Roman" w:cs="Times New Roman"/>
          <w:sz w:val="24"/>
          <w:szCs w:val="24"/>
          <w:lang w:val="en-GB"/>
        </w:rPr>
        <w:t xml:space="preserve"> Endoscopic G</w:t>
      </w:r>
      <w:r w:rsidR="000C642F" w:rsidRPr="006A7699">
        <w:rPr>
          <w:rFonts w:ascii="Times New Roman" w:hAnsi="Times New Roman" w:cs="Times New Roman"/>
          <w:sz w:val="24"/>
          <w:szCs w:val="24"/>
          <w:lang w:val="en-GB"/>
        </w:rPr>
        <w:t>astrostomy (PEG)</w:t>
      </w:r>
      <w:r w:rsidR="00C6153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71C0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in elderly patients 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(pts) </w:t>
      </w:r>
      <w:r w:rsidR="00C071C0" w:rsidRPr="006A7699">
        <w:rPr>
          <w:rFonts w:ascii="Times New Roman" w:hAnsi="Times New Roman" w:cs="Times New Roman"/>
          <w:sz w:val="24"/>
          <w:szCs w:val="24"/>
          <w:lang w:val="en-GB"/>
        </w:rPr>
        <w:t>with advanced dementia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(D)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. It </w:t>
      </w:r>
      <w:r w:rsidR="000C642F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proofErr w:type="gramStart"/>
      <w:r w:rsidR="000C642F">
        <w:rPr>
          <w:rFonts w:ascii="Times New Roman" w:hAnsi="Times New Roman" w:cs="Times New Roman"/>
          <w:sz w:val="24"/>
          <w:szCs w:val="24"/>
          <w:lang w:val="en-GB"/>
        </w:rPr>
        <w:t>argues</w:t>
      </w:r>
      <w:proofErr w:type="gramEnd"/>
      <w:r w:rsidR="000C642F">
        <w:rPr>
          <w:rFonts w:ascii="Times New Roman" w:hAnsi="Times New Roman" w:cs="Times New Roman"/>
          <w:sz w:val="24"/>
          <w:szCs w:val="24"/>
          <w:lang w:val="en-GB"/>
        </w:rPr>
        <w:t xml:space="preserve"> that 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AN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does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not improve the outcomes of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these </w:t>
      </w:r>
      <w:r w:rsidR="000C642F">
        <w:rPr>
          <w:rFonts w:ascii="Times New Roman" w:hAnsi="Times New Roman" w:cs="Times New Roman"/>
          <w:sz w:val="24"/>
          <w:szCs w:val="24"/>
          <w:lang w:val="en-GB"/>
        </w:rPr>
        <w:t>pts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71C0" w:rsidRPr="006A7699">
        <w:rPr>
          <w:rFonts w:ascii="Times New Roman" w:hAnsi="Times New Roman" w:cs="Times New Roman"/>
          <w:sz w:val="24"/>
          <w:szCs w:val="24"/>
          <w:lang w:val="en-GB"/>
        </w:rPr>
        <w:t>when</w:t>
      </w:r>
      <w:r w:rsidR="000C642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71C0" w:rsidRPr="006A7699">
        <w:rPr>
          <w:rFonts w:ascii="Times New Roman" w:hAnsi="Times New Roman" w:cs="Times New Roman"/>
          <w:sz w:val="24"/>
          <w:szCs w:val="24"/>
          <w:lang w:val="en-GB"/>
        </w:rPr>
        <w:t>compared to orally fed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pts</w:t>
      </w:r>
      <w:r w:rsidR="0001778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In Italy, t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he AN is administered only when pts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cannot be f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ed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by mouth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0C642F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0C642F" w:rsidRPr="006A7699">
        <w:rPr>
          <w:rFonts w:ascii="Times New Roman" w:hAnsi="Times New Roman" w:cs="Times New Roman"/>
          <w:sz w:val="24"/>
          <w:szCs w:val="24"/>
          <w:lang w:val="en-GB"/>
        </w:rPr>
        <w:t>herefore</w:t>
      </w:r>
      <w:r w:rsidR="000C642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C642F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C642F">
        <w:rPr>
          <w:rFonts w:ascii="Times New Roman" w:hAnsi="Times New Roman" w:cs="Times New Roman"/>
          <w:sz w:val="24"/>
          <w:szCs w:val="24"/>
          <w:lang w:val="en-GB"/>
        </w:rPr>
        <w:t>w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e compared the </w:t>
      </w:r>
      <w:r w:rsidR="0001778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outcomes 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of pts with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1778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0C642F">
        <w:rPr>
          <w:rFonts w:ascii="Times New Roman" w:hAnsi="Times New Roman" w:cs="Times New Roman"/>
          <w:sz w:val="24"/>
          <w:szCs w:val="24"/>
          <w:lang w:val="en-GB"/>
        </w:rPr>
        <w:t>who were tube</w:t>
      </w:r>
      <w:r w:rsidR="000C642F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fed </w:t>
      </w:r>
      <w:proofErr w:type="gramStart"/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by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1778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PEG</w:t>
      </w:r>
      <w:proofErr w:type="gramEnd"/>
      <w:r w:rsidR="0001778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proofErr w:type="spellStart"/>
      <w:r w:rsidR="000C642F">
        <w:rPr>
          <w:rFonts w:ascii="Times New Roman" w:hAnsi="Times New Roman" w:cs="Times New Roman"/>
          <w:sz w:val="24"/>
          <w:szCs w:val="24"/>
          <w:lang w:val="en-GB"/>
        </w:rPr>
        <w:t>bz</w:t>
      </w:r>
      <w:proofErr w:type="spellEnd"/>
      <w:r w:rsidR="000C642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>nasogastric tube</w:t>
      </w:r>
      <w:r w:rsidR="0001778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>NGT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01778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290AA5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with the outcomes of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non demented (ND) tube fed pts</w:t>
      </w:r>
      <w:r w:rsidR="0001778E" w:rsidRPr="006A769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3244A0" w:rsidRPr="006A7699" w:rsidRDefault="003244A0" w:rsidP="009E4B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A7699">
        <w:rPr>
          <w:rFonts w:ascii="Times New Roman" w:hAnsi="Times New Roman" w:cs="Times New Roman"/>
          <w:b/>
          <w:sz w:val="24"/>
          <w:szCs w:val="24"/>
          <w:lang w:val="en-GB"/>
        </w:rPr>
        <w:t xml:space="preserve">Methods: </w:t>
      </w:r>
      <w:r w:rsidR="006968BC" w:rsidRPr="006A7699">
        <w:rPr>
          <w:rFonts w:ascii="Times New Roman" w:hAnsi="Times New Roman" w:cs="Times New Roman"/>
          <w:sz w:val="24"/>
          <w:szCs w:val="24"/>
          <w:lang w:val="en-GB"/>
        </w:rPr>
        <w:t>We performed a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retrospective observational study on 585 pts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>85,6 ± 6,9 years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>, treated with H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ome 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nteral 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utrition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(HEN) 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from 2010 to 2015 by Clinical Nutrition Unit of an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Italian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research geriatric hospital (INRCA, Ancona). Incidence rates of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mechanical</w:t>
      </w:r>
      <w:r w:rsidR="006968BC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, gastrointestinal and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metabolic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complications and survival - were compared between pts with </w:t>
      </w:r>
      <w:r w:rsidRPr="00C61532">
        <w:rPr>
          <w:rFonts w:ascii="Times New Roman" w:hAnsi="Times New Roman" w:cs="Times New Roman"/>
          <w:sz w:val="24"/>
          <w:szCs w:val="24"/>
          <w:lang w:val="en-GB"/>
        </w:rPr>
        <w:t>severe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D 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ND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pts. </w:t>
      </w:r>
      <w:r w:rsidR="000829D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The mortality risk factors were evaluated by 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>Cox proportional hazards model</w:t>
      </w:r>
      <w:r w:rsidR="000829DE" w:rsidRPr="006A769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3244A0" w:rsidRPr="006A7699" w:rsidRDefault="003244A0" w:rsidP="009E4B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A7699">
        <w:rPr>
          <w:rFonts w:ascii="Times New Roman" w:hAnsi="Times New Roman" w:cs="Times New Roman"/>
          <w:b/>
          <w:sz w:val="24"/>
          <w:szCs w:val="24"/>
          <w:lang w:val="en-GB"/>
        </w:rPr>
        <w:t xml:space="preserve">Results: 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The incidence rates of complications did not differ between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gramStart"/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ND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B2081" w:rsidRPr="006A7699">
        <w:rPr>
          <w:rFonts w:ascii="Times New Roman" w:hAnsi="Times New Roman" w:cs="Times New Roman"/>
          <w:sz w:val="24"/>
          <w:szCs w:val="24"/>
          <w:lang w:val="en-GB"/>
        </w:rPr>
        <w:t>pts</w:t>
      </w:r>
      <w:proofErr w:type="gramEnd"/>
      <w:r w:rsidR="00CB2081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mechanical: 1,35/ 1000 days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in ND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vs. 1,45/1000 days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in D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(p=0,270), gastrointestinal: 1,30/1000 days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in ND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vs. 1,35/1000 days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in D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(p=0,984), metabolic: 0,36/1000 days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in ND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vs. 0,35/1000 days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in D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(p=0,252). N</w:t>
      </w:r>
      <w:r w:rsidR="000829D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either the 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median survival </w:t>
      </w:r>
      <w:r w:rsidR="000829D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differed significantly between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0829D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ND</w:t>
      </w:r>
      <w:r w:rsidR="000829D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193 days </w:t>
      </w:r>
      <w:r w:rsidR="000829DE" w:rsidRPr="006A7699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ND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vs. 192 </w:t>
      </w:r>
      <w:r w:rsidR="000829DE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days in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C61532">
        <w:rPr>
          <w:rFonts w:ascii="Times New Roman" w:hAnsi="Times New Roman" w:cs="Times New Roman"/>
          <w:sz w:val="24"/>
          <w:szCs w:val="24"/>
          <w:lang w:val="en-GB"/>
        </w:rPr>
        <w:t>, (p&gt;0.05)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>. Female gender, advanced age, NGT, Diabetes Me</w:t>
      </w:r>
      <w:r w:rsidR="006968BC" w:rsidRPr="006A7699">
        <w:rPr>
          <w:rFonts w:ascii="Times New Roman" w:hAnsi="Times New Roman" w:cs="Times New Roman"/>
          <w:sz w:val="24"/>
          <w:szCs w:val="24"/>
          <w:lang w:val="en-GB"/>
        </w:rPr>
        <w:t>l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litus and Chronic Renal failure were identified as 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survival 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>risk factors</w:t>
      </w:r>
      <w:r w:rsidR="006A7699" w:rsidRPr="006A7699">
        <w:rPr>
          <w:rFonts w:ascii="Times New Roman" w:hAnsi="Times New Roman" w:cs="Times New Roman"/>
          <w:sz w:val="24"/>
          <w:szCs w:val="24"/>
          <w:lang w:val="en-GB"/>
        </w:rPr>
        <w:t>, high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values of Geriatric Nutritional Risk Index as a protective factor. </w:t>
      </w:r>
    </w:p>
    <w:p w:rsidR="003244A0" w:rsidRPr="006A7699" w:rsidRDefault="003244A0" w:rsidP="009E4B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A7699">
        <w:rPr>
          <w:rFonts w:ascii="Times New Roman" w:hAnsi="Times New Roman" w:cs="Times New Roman"/>
          <w:b/>
          <w:sz w:val="24"/>
          <w:szCs w:val="24"/>
          <w:lang w:val="en-GB"/>
        </w:rPr>
        <w:t>Conclusions:</w:t>
      </w:r>
    </w:p>
    <w:p w:rsidR="003244A0" w:rsidRPr="006A7699" w:rsidRDefault="006A7699" w:rsidP="009E4B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A7699">
        <w:rPr>
          <w:rFonts w:ascii="Times New Roman" w:hAnsi="Times New Roman" w:cs="Times New Roman"/>
          <w:sz w:val="24"/>
          <w:szCs w:val="24"/>
          <w:lang w:val="en-GB"/>
        </w:rPr>
        <w:t>Given that there are no significant differences in complications of the HEN therapy and survival among D and ND pts, t</w:t>
      </w:r>
      <w:r w:rsidR="003244A0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he </w:t>
      </w:r>
      <w:r w:rsidRPr="006A7699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3244A0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shouldn't be </w:t>
      </w:r>
      <w:r w:rsidR="003C125A" w:rsidRPr="006A7699">
        <w:rPr>
          <w:rFonts w:ascii="Times New Roman" w:hAnsi="Times New Roman" w:cs="Times New Roman"/>
          <w:sz w:val="24"/>
          <w:szCs w:val="24"/>
          <w:lang w:val="en-GB"/>
        </w:rPr>
        <w:t>contraindicated</w:t>
      </w:r>
      <w:r w:rsidR="003244A0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244A0" w:rsidRPr="006A7699">
        <w:rPr>
          <w:rFonts w:ascii="Times New Roman" w:hAnsi="Times New Roman" w:cs="Times New Roman"/>
          <w:i/>
          <w:sz w:val="24"/>
          <w:szCs w:val="24"/>
          <w:lang w:val="en-GB"/>
        </w:rPr>
        <w:t xml:space="preserve">a priori </w:t>
      </w:r>
      <w:r w:rsidR="003244A0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in pts </w:t>
      </w:r>
      <w:r w:rsidR="003244A0" w:rsidRPr="00C61532">
        <w:rPr>
          <w:rFonts w:ascii="Times New Roman" w:hAnsi="Times New Roman" w:cs="Times New Roman"/>
          <w:sz w:val="24"/>
          <w:szCs w:val="24"/>
          <w:lang w:val="en-GB"/>
        </w:rPr>
        <w:t>with severe</w:t>
      </w:r>
      <w:r w:rsidR="003244A0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567BD" w:rsidRPr="006A7699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3244A0" w:rsidRPr="006A7699">
        <w:rPr>
          <w:rFonts w:ascii="Times New Roman" w:hAnsi="Times New Roman" w:cs="Times New Roman"/>
          <w:sz w:val="24"/>
          <w:szCs w:val="24"/>
          <w:lang w:val="en-GB"/>
        </w:rPr>
        <w:t xml:space="preserve">. Regular follow up is mandatory to guarantee the adherence of the therapy to its initial aims and to assure that a </w:t>
      </w:r>
      <w:r w:rsidR="003244A0" w:rsidRPr="006A7699">
        <w:rPr>
          <w:rFonts w:ascii="Times New Roman" w:hAnsi="Times New Roman" w:cs="Times New Roman"/>
          <w:bCs/>
          <w:sz w:val="24"/>
          <w:szCs w:val="24"/>
          <w:lang w:val="en-GB"/>
        </w:rPr>
        <w:t>principle of beneficence and non-maleficence is respected.</w:t>
      </w:r>
    </w:p>
    <w:p w:rsidR="00310E1A" w:rsidRPr="006A7699" w:rsidRDefault="00310E1A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310E1A" w:rsidRPr="006A7699" w:rsidSect="00310E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244A0"/>
    <w:rsid w:val="0001778E"/>
    <w:rsid w:val="000829DE"/>
    <w:rsid w:val="000C491D"/>
    <w:rsid w:val="000C642F"/>
    <w:rsid w:val="00207020"/>
    <w:rsid w:val="002567BD"/>
    <w:rsid w:val="002632E7"/>
    <w:rsid w:val="002648FC"/>
    <w:rsid w:val="00290AA5"/>
    <w:rsid w:val="0030776D"/>
    <w:rsid w:val="00310E1A"/>
    <w:rsid w:val="003244A0"/>
    <w:rsid w:val="003379BC"/>
    <w:rsid w:val="003C125A"/>
    <w:rsid w:val="00400C8C"/>
    <w:rsid w:val="005F6F0D"/>
    <w:rsid w:val="006968BC"/>
    <w:rsid w:val="006A7699"/>
    <w:rsid w:val="00790235"/>
    <w:rsid w:val="007A574C"/>
    <w:rsid w:val="009849C7"/>
    <w:rsid w:val="009E43A9"/>
    <w:rsid w:val="009E4B77"/>
    <w:rsid w:val="00A05D8A"/>
    <w:rsid w:val="00AB51A4"/>
    <w:rsid w:val="00BA547C"/>
    <w:rsid w:val="00C071C0"/>
    <w:rsid w:val="00C61532"/>
    <w:rsid w:val="00CB2081"/>
    <w:rsid w:val="00E4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B9362"/>
  <w15:docId w15:val="{E6375580-1551-469D-A248-85D4B5BE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44A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E4B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p.orlandoni@inrc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922F4F-E8E7-4D30-935A-934EF322F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Sparvoli Debora</dc:creator>
  <cp:lastModifiedBy>ORLANDONI PAOLO</cp:lastModifiedBy>
  <cp:revision>5</cp:revision>
  <dcterms:created xsi:type="dcterms:W3CDTF">2017-04-03T13:22:00Z</dcterms:created>
  <dcterms:modified xsi:type="dcterms:W3CDTF">2018-03-02T14:46:00Z</dcterms:modified>
</cp:coreProperties>
</file>