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432E74" w14:textId="16AB3D5D" w:rsidR="00AE3E37" w:rsidRDefault="006C0099" w:rsidP="00494130">
      <w:pPr>
        <w:pStyle w:val="Heading1"/>
        <w:spacing w:before="170"/>
        <w:ind w:left="0"/>
      </w:pPr>
      <w:r>
        <w:rPr>
          <w:color w:val="337AB7"/>
        </w:rPr>
        <w:t xml:space="preserve">Network based threat hunting – a critical component for </w:t>
      </w:r>
      <w:r w:rsidR="00BE72B1">
        <w:rPr>
          <w:color w:val="337AB7"/>
        </w:rPr>
        <w:t xml:space="preserve">securing the cloud! </w:t>
      </w:r>
    </w:p>
    <w:p w14:paraId="1D59E23F" w14:textId="447AFF84" w:rsidR="005973B9" w:rsidRDefault="00BE72B1" w:rsidP="005973B9">
      <w:pPr>
        <w:pStyle w:val="BodyText"/>
        <w:spacing w:before="73" w:line="198" w:lineRule="exact"/>
        <w:ind w:left="100" w:right="5987"/>
        <w:rPr>
          <w:rFonts w:ascii="Arial"/>
        </w:rPr>
      </w:pPr>
      <w:r>
        <w:rPr>
          <w:rFonts w:ascii="Arial"/>
        </w:rPr>
        <w:t>Etay Maor, Sr Director Security Strategy, Cato Networks &amp; Cybersecurity Professor at Boston College</w:t>
      </w:r>
    </w:p>
    <w:p w14:paraId="1C495704" w14:textId="77777777" w:rsidR="00AE3E37" w:rsidRDefault="00AE3E37">
      <w:pPr>
        <w:pStyle w:val="BodyText"/>
        <w:rPr>
          <w:rFonts w:ascii="Arial"/>
          <w:sz w:val="20"/>
        </w:rPr>
      </w:pPr>
    </w:p>
    <w:p w14:paraId="449BFCE9" w14:textId="77777777" w:rsidR="00AE3E37" w:rsidRDefault="00AE3E37">
      <w:pPr>
        <w:pStyle w:val="BodyText"/>
        <w:spacing w:before="3"/>
        <w:rPr>
          <w:rFonts w:ascii="Arial"/>
          <w:sz w:val="21"/>
        </w:rPr>
      </w:pPr>
    </w:p>
    <w:p w14:paraId="2F4242EC"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C0E2E21" w14:textId="77777777" w:rsidR="00AE3E37" w:rsidRDefault="00A9710C">
      <w:pPr>
        <w:pStyle w:val="Heading3"/>
        <w:spacing w:before="147"/>
        <w:jc w:val="both"/>
      </w:pPr>
      <w:r>
        <w:rPr>
          <w:color w:val="BF5A14"/>
        </w:rPr>
        <w:t>Abstract</w:t>
      </w:r>
      <w:r w:rsidR="00404E5B">
        <w:rPr>
          <w:color w:val="BF5A14"/>
        </w:rPr>
        <w:t xml:space="preserve"> (300 word limit)</w:t>
      </w:r>
    </w:p>
    <w:p w14:paraId="7021CDB2" w14:textId="77777777" w:rsidR="006C0099" w:rsidRDefault="006C0099" w:rsidP="006C0099">
      <w:r w:rsidRPr="00FB0B52">
        <w:t xml:space="preserve">Using legacy, "on-prem" security strategies to combat today's threats is like bringing a knife to a gun fight. Threat actors have been perfecting the art of evading security controls for years and we see the results in headlines all the time. In this session we will dive into </w:t>
      </w:r>
      <w:proofErr w:type="gramStart"/>
      <w:r w:rsidRPr="00FB0B52">
        <w:t>network based</w:t>
      </w:r>
      <w:proofErr w:type="gramEnd"/>
      <w:r w:rsidRPr="00FB0B52">
        <w:t xml:space="preserve"> threat hunting and how it can be implemented within an organization's security strategy. A cloud environment requires a cloud security strategy!</w:t>
      </w:r>
    </w:p>
    <w:p w14:paraId="5BDD20EB" w14:textId="77777777" w:rsidR="006C0099" w:rsidRDefault="006C0099" w:rsidP="006C0099"/>
    <w:p w14:paraId="4D44CFEE" w14:textId="77777777" w:rsidR="006C0099" w:rsidRDefault="006C0099" w:rsidP="006C0099">
      <w:r>
        <w:t xml:space="preserve">Most organizations are going through a digital transformation journey, be it a planned one ore one that was forced upon them due to circumstances. But how many organizations are making sure that this journey also includes security transformation? Most organizations use the same security tools and techniques as the ones we have been using for over a decade, but our infrastructure as well as the threats targeting them have changed and evolved. They are bringing a knife to a gun fight! </w:t>
      </w:r>
      <w:proofErr w:type="gramStart"/>
      <w:r>
        <w:t>End point</w:t>
      </w:r>
      <w:proofErr w:type="gramEnd"/>
      <w:r>
        <w:t xml:space="preserve"> AV? Sandboxes? Siloed threat intel feeds? Threat actors today have proven over and over they can bypass these strategies.</w:t>
      </w:r>
    </w:p>
    <w:p w14:paraId="670C6C05" w14:textId="7492D3A2" w:rsidR="00AE3E37" w:rsidRDefault="006C0099" w:rsidP="006C0099">
      <w:r>
        <w:t xml:space="preserve">In this session we will review how today’s threats evade security detection and how they evolved over time. We will see how a </w:t>
      </w:r>
      <w:proofErr w:type="gramStart"/>
      <w:r>
        <w:t>network based</w:t>
      </w:r>
      <w:proofErr w:type="gramEnd"/>
      <w:r>
        <w:t xml:space="preserve"> threat hunting program does not necessarily mean changing and buying new products but rather how to better utilize current capabilities to fit today's threats. It's not all about new features but rather how to deploy and use them! We will show use cases as well several of the tactical, practical techniques to help detect and mitigate today’s threats. A cloud environment cannot be protected with the tools and techniques of the “on-prem” days, a cloud environment requires a cloud security strategy!</w:t>
      </w:r>
    </w:p>
    <w:p w14:paraId="6298F952" w14:textId="77777777" w:rsidR="00AE3E37" w:rsidRDefault="00A9710C">
      <w:pPr>
        <w:pStyle w:val="Heading3"/>
        <w:spacing w:before="74"/>
      </w:pPr>
      <w:r>
        <w:rPr>
          <w:b w:val="0"/>
        </w:rPr>
        <w:br w:type="column"/>
      </w:r>
      <w:r>
        <w:rPr>
          <w:color w:val="BF5A14"/>
        </w:rPr>
        <w:t>Image</w:t>
      </w:r>
    </w:p>
    <w:p w14:paraId="21A1A225" w14:textId="2CF5BF8B" w:rsidR="00AE3E37" w:rsidRDefault="006C0099">
      <w:pPr>
        <w:pStyle w:val="BodyText"/>
        <w:spacing w:before="2"/>
        <w:rPr>
          <w:rFonts w:ascii="Arial"/>
          <w:b/>
          <w:sz w:val="16"/>
        </w:rPr>
      </w:pPr>
      <w:r>
        <w:rPr>
          <w:noProof/>
        </w:rPr>
        <w:drawing>
          <wp:inline distT="0" distB="0" distL="0" distR="0" wp14:anchorId="6AC1F6CF" wp14:editId="248804AF">
            <wp:extent cx="3165475" cy="164452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1644526"/>
                    </a:xfrm>
                    <a:prstGeom prst="rect">
                      <a:avLst/>
                    </a:prstGeom>
                  </pic:spPr>
                </pic:pic>
              </a:graphicData>
            </a:graphic>
          </wp:inline>
        </w:drawing>
      </w:r>
    </w:p>
    <w:p w14:paraId="50D639BC" w14:textId="77777777" w:rsidR="005973B9" w:rsidRDefault="005973B9" w:rsidP="005973B9">
      <w:pPr>
        <w:spacing w:line="204" w:lineRule="exact"/>
        <w:rPr>
          <w:rFonts w:ascii="Arial"/>
          <w:b/>
          <w:sz w:val="20"/>
        </w:rPr>
      </w:pPr>
      <w:r>
        <w:rPr>
          <w:rFonts w:ascii="Arial"/>
          <w:b/>
          <w:color w:val="BF5A14"/>
          <w:sz w:val="20"/>
        </w:rPr>
        <w:br/>
        <w:t>Recent Publications (minimum 5)</w:t>
      </w:r>
    </w:p>
    <w:p w14:paraId="5E2F1BF2" w14:textId="7081F87B" w:rsidR="006C0099" w:rsidRDefault="006C0099" w:rsidP="005973B9">
      <w:pPr>
        <w:pStyle w:val="ListParagraph"/>
        <w:numPr>
          <w:ilvl w:val="0"/>
          <w:numId w:val="3"/>
        </w:numPr>
        <w:tabs>
          <w:tab w:val="left" w:pos="384"/>
        </w:tabs>
        <w:spacing w:line="216" w:lineRule="exact"/>
        <w:ind w:right="137" w:hanging="283"/>
        <w:rPr>
          <w:sz w:val="18"/>
        </w:rPr>
      </w:pPr>
      <w:hyperlink r:id="rId10" w:history="1">
        <w:r w:rsidRPr="004F25C1">
          <w:rPr>
            <w:rStyle w:val="Hyperlink"/>
            <w:sz w:val="18"/>
          </w:rPr>
          <w:t>https://www.catonetworks.com/blog/the-biggest-misconception-about-zero-day-attacks/</w:t>
        </w:r>
      </w:hyperlink>
    </w:p>
    <w:p w14:paraId="42C4E285" w14:textId="6A9BB6D3" w:rsidR="006C0099" w:rsidRPr="006C0099" w:rsidRDefault="006C0099" w:rsidP="006C0099">
      <w:pPr>
        <w:pStyle w:val="ListParagraph"/>
        <w:numPr>
          <w:ilvl w:val="0"/>
          <w:numId w:val="3"/>
        </w:numPr>
        <w:tabs>
          <w:tab w:val="left" w:pos="384"/>
        </w:tabs>
        <w:spacing w:line="216" w:lineRule="exact"/>
        <w:ind w:right="138" w:hanging="283"/>
        <w:rPr>
          <w:sz w:val="18"/>
        </w:rPr>
      </w:pPr>
      <w:hyperlink r:id="rId11" w:history="1">
        <w:r w:rsidRPr="004F25C1">
          <w:rPr>
            <w:rStyle w:val="Hyperlink"/>
            <w:sz w:val="18"/>
          </w:rPr>
          <w:t>https://www.catonetworks.com/blog/threats-and-attacks-against-ics-systems/</w:t>
        </w:r>
      </w:hyperlink>
    </w:p>
    <w:p w14:paraId="30E86E46" w14:textId="59524265" w:rsidR="006C0099" w:rsidRDefault="006C0099" w:rsidP="005973B9">
      <w:pPr>
        <w:pStyle w:val="ListParagraph"/>
        <w:numPr>
          <w:ilvl w:val="0"/>
          <w:numId w:val="3"/>
        </w:numPr>
        <w:tabs>
          <w:tab w:val="left" w:pos="384"/>
        </w:tabs>
        <w:spacing w:before="92" w:line="218" w:lineRule="exact"/>
        <w:ind w:hanging="283"/>
        <w:rPr>
          <w:sz w:val="18"/>
        </w:rPr>
      </w:pPr>
      <w:hyperlink r:id="rId12" w:history="1">
        <w:r w:rsidRPr="004F25C1">
          <w:rPr>
            <w:rStyle w:val="Hyperlink"/>
            <w:sz w:val="18"/>
          </w:rPr>
          <w:t>https://intsights.com/blog/zooming-in-on-the-target-cybercriminals-automate-attacks-against-remote-workers</w:t>
        </w:r>
      </w:hyperlink>
    </w:p>
    <w:p w14:paraId="2CDA0CC5" w14:textId="5788EB12" w:rsidR="006C0099" w:rsidRDefault="006C0099" w:rsidP="006C0099">
      <w:pPr>
        <w:pStyle w:val="BodyText"/>
        <w:spacing w:line="218" w:lineRule="exact"/>
        <w:ind w:left="383"/>
        <w:rPr>
          <w:rFonts w:ascii="Calibri" w:eastAsia="Calibri" w:hAnsi="Calibri" w:cs="Calibri"/>
          <w:szCs w:val="22"/>
        </w:rPr>
      </w:pPr>
      <w:hyperlink r:id="rId13" w:history="1">
        <w:r w:rsidRPr="004F25C1">
          <w:rPr>
            <w:rStyle w:val="Hyperlink"/>
            <w:rFonts w:ascii="Calibri" w:eastAsia="Calibri" w:hAnsi="Calibri" w:cs="Calibri"/>
            <w:szCs w:val="22"/>
          </w:rPr>
          <w:t>https://www.idgconnect.com/article/3584689/secret-cso-etay-maor-intsights.htm</w:t>
        </w:r>
        <w:r w:rsidRPr="004F25C1">
          <w:rPr>
            <w:rStyle w:val="Hyperlink"/>
            <w:rFonts w:ascii="Calibri" w:eastAsia="Calibri" w:hAnsi="Calibri" w:cs="Calibri"/>
            <w:szCs w:val="22"/>
          </w:rPr>
          <w:t>l</w:t>
        </w:r>
      </w:hyperlink>
    </w:p>
    <w:p w14:paraId="3FB7053F" w14:textId="77777777" w:rsidR="006C0099" w:rsidRPr="006C0099" w:rsidRDefault="006C0099" w:rsidP="006C0099">
      <w:pPr>
        <w:pStyle w:val="BodyText"/>
        <w:spacing w:line="218" w:lineRule="exact"/>
        <w:ind w:left="383"/>
        <w:rPr>
          <w:rFonts w:ascii="Calibri" w:eastAsia="Calibri" w:hAnsi="Calibri" w:cs="Calibri"/>
          <w:szCs w:val="22"/>
        </w:rPr>
      </w:pPr>
    </w:p>
    <w:p w14:paraId="50922AD9" w14:textId="761E9EDB" w:rsidR="005973B9" w:rsidRDefault="006C0099" w:rsidP="006C0099">
      <w:pPr>
        <w:pStyle w:val="BodyText"/>
        <w:numPr>
          <w:ilvl w:val="0"/>
          <w:numId w:val="3"/>
        </w:numPr>
        <w:spacing w:before="85" w:line="216" w:lineRule="exact"/>
        <w:ind w:right="138"/>
        <w:jc w:val="both"/>
        <w:rPr>
          <w:rFonts w:ascii="Calibri" w:hAnsi="Calibri"/>
        </w:rPr>
      </w:pPr>
      <w:hyperlink r:id="rId14" w:history="1">
        <w:r w:rsidRPr="004F25C1">
          <w:rPr>
            <w:rStyle w:val="Hyperlink"/>
            <w:rFonts w:ascii="Calibri" w:hAnsi="Calibri"/>
          </w:rPr>
          <w:t>https://www.catonetworks.com/blog/new-microsoft-exchange-vulnerability-disclosed/</w:t>
        </w:r>
      </w:hyperlink>
    </w:p>
    <w:p w14:paraId="3DDC9717" w14:textId="645ADFD7" w:rsidR="006C0099" w:rsidRDefault="006C0099" w:rsidP="006C0099">
      <w:pPr>
        <w:pStyle w:val="BodyText"/>
        <w:numPr>
          <w:ilvl w:val="0"/>
          <w:numId w:val="3"/>
        </w:numPr>
        <w:spacing w:before="85" w:line="216" w:lineRule="exact"/>
        <w:ind w:right="138"/>
        <w:jc w:val="both"/>
        <w:rPr>
          <w:rFonts w:ascii="Calibri" w:hAnsi="Calibri"/>
        </w:rPr>
      </w:pPr>
      <w:hyperlink r:id="rId15" w:history="1">
        <w:r w:rsidRPr="004F25C1">
          <w:rPr>
            <w:rStyle w:val="Hyperlink"/>
            <w:rFonts w:ascii="Calibri" w:hAnsi="Calibri"/>
          </w:rPr>
          <w:t>https://intsights.com/blog/pandemic-unemployment-scams-made-easy</w:t>
        </w:r>
      </w:hyperlink>
    </w:p>
    <w:p w14:paraId="7174EBF0" w14:textId="77777777" w:rsidR="006C0099" w:rsidRDefault="006C0099" w:rsidP="006C0099">
      <w:pPr>
        <w:pStyle w:val="BodyText"/>
        <w:numPr>
          <w:ilvl w:val="0"/>
          <w:numId w:val="3"/>
        </w:numPr>
        <w:spacing w:before="85" w:line="216" w:lineRule="exact"/>
        <w:ind w:right="138"/>
        <w:jc w:val="both"/>
        <w:rPr>
          <w:rFonts w:ascii="Calibri" w:hAnsi="Calibri"/>
        </w:rPr>
      </w:pPr>
    </w:p>
    <w:p w14:paraId="12829A01" w14:textId="77777777" w:rsidR="00AE3E37" w:rsidRPr="008756E6" w:rsidRDefault="00AE3E37" w:rsidP="008756E6">
      <w:pPr>
        <w:tabs>
          <w:tab w:val="left" w:pos="384"/>
        </w:tabs>
        <w:ind w:right="117"/>
      </w:pPr>
    </w:p>
    <w:p w14:paraId="375AE3AB"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4DCDFA7" w14:textId="77777777" w:rsidR="00AE3E37" w:rsidRDefault="00AE3E37">
      <w:pPr>
        <w:pStyle w:val="BodyText"/>
        <w:rPr>
          <w:rFonts w:ascii="Calibri"/>
          <w:sz w:val="20"/>
        </w:rPr>
      </w:pPr>
    </w:p>
    <w:p w14:paraId="187CDCEB"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A42AAD6" wp14:editId="2AA09CF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535BF9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933CF48" w14:textId="69F09B6C" w:rsidR="00AE3E37" w:rsidRDefault="008756E6" w:rsidP="00404E5B">
      <w:pPr>
        <w:spacing w:before="92"/>
        <w:ind w:right="4234"/>
        <w:rPr>
          <w:rFonts w:ascii="Arial"/>
        </w:rPr>
      </w:pPr>
      <w:r>
        <w:rPr>
          <w:noProof/>
        </w:rPr>
        <w:t xml:space="preserve">              </w:t>
      </w:r>
      <w:r w:rsidR="00BE72B1">
        <w:rPr>
          <w:rFonts w:ascii="Arial"/>
          <w:noProof/>
          <w:color w:val="BF5A14"/>
        </w:rPr>
        <w:drawing>
          <wp:inline distT="0" distB="0" distL="0" distR="0" wp14:anchorId="4E8777C4" wp14:editId="35A4B28B">
            <wp:extent cx="384048" cy="381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84048" cy="381000"/>
                    </a:xfrm>
                    <a:prstGeom prst="rect">
                      <a:avLst/>
                    </a:prstGeom>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23A3C191" w14:textId="5A206942" w:rsidR="00AE3E37" w:rsidRDefault="006C0099" w:rsidP="006C0099">
      <w:pPr>
        <w:pStyle w:val="NormalWeb"/>
        <w:shd w:val="clear" w:color="auto" w:fill="FFFFFF"/>
        <w:rPr>
          <w:rFonts w:ascii="Arial"/>
          <w:sz w:val="14"/>
        </w:rPr>
      </w:pPr>
      <w:r w:rsidRPr="006C0099">
        <w:rPr>
          <w:rFonts w:ascii="Arial" w:eastAsia="Tw Cen MT" w:hAnsi="Tw Cen MT" w:cs="Tw Cen MT"/>
          <w:sz w:val="14"/>
          <w:lang w:bidi="ar-SA"/>
        </w:rPr>
        <w:t xml:space="preserve">Etay Maor is the Sr. Director Security Strategy at Cato Networks and an industry recognized cyber security researcher and </w:t>
      </w:r>
      <w:proofErr w:type="gramStart"/>
      <w:r w:rsidRPr="006C0099">
        <w:rPr>
          <w:rFonts w:ascii="Arial" w:eastAsia="Tw Cen MT" w:hAnsi="Tw Cen MT" w:cs="Tw Cen MT"/>
          <w:sz w:val="14"/>
          <w:lang w:bidi="ar-SA"/>
        </w:rPr>
        <w:t>key note</w:t>
      </w:r>
      <w:proofErr w:type="gramEnd"/>
      <w:r w:rsidRPr="006C0099">
        <w:rPr>
          <w:rFonts w:ascii="Arial" w:eastAsia="Tw Cen MT" w:hAnsi="Tw Cen MT" w:cs="Tw Cen MT"/>
          <w:sz w:val="14"/>
          <w:lang w:bidi="ar-SA"/>
        </w:rPr>
        <w:t xml:space="preserve"> speaker.</w:t>
      </w:r>
      <w:r>
        <w:rPr>
          <w:rFonts w:ascii="Arial" w:eastAsia="Tw Cen MT" w:hAnsi="Tw Cen MT" w:cs="Tw Cen MT"/>
          <w:sz w:val="14"/>
          <w:lang w:bidi="ar-SA"/>
        </w:rPr>
        <w:t xml:space="preserve"> </w:t>
      </w:r>
      <w:proofErr w:type="gramStart"/>
      <w:r w:rsidRPr="006C0099">
        <w:rPr>
          <w:rFonts w:ascii="Arial" w:eastAsia="Tw Cen MT" w:hAnsi="Tw Cen MT" w:cs="Tw Cen MT"/>
          <w:sz w:val="14"/>
          <w:lang w:bidi="ar-SA"/>
        </w:rPr>
        <w:t>Previously</w:t>
      </w:r>
      <w:proofErr w:type="gramEnd"/>
      <w:r w:rsidRPr="006C0099">
        <w:rPr>
          <w:rFonts w:ascii="Arial" w:eastAsia="Tw Cen MT" w:hAnsi="Tw Cen MT" w:cs="Tw Cen MT"/>
          <w:sz w:val="14"/>
          <w:lang w:bidi="ar-SA"/>
        </w:rPr>
        <w:t xml:space="preserve">, Etay was the Chief Security Officer for </w:t>
      </w:r>
      <w:proofErr w:type="spellStart"/>
      <w:r w:rsidRPr="006C0099">
        <w:rPr>
          <w:rFonts w:ascii="Arial" w:eastAsia="Tw Cen MT" w:hAnsi="Tw Cen MT" w:cs="Tw Cen MT"/>
          <w:sz w:val="14"/>
          <w:lang w:bidi="ar-SA"/>
        </w:rPr>
        <w:t>IntSights</w:t>
      </w:r>
      <w:proofErr w:type="spellEnd"/>
      <w:r w:rsidRPr="006C0099">
        <w:rPr>
          <w:rFonts w:ascii="Arial" w:eastAsia="Tw Cen MT" w:hAnsi="Tw Cen MT" w:cs="Tw Cen MT"/>
          <w:sz w:val="14"/>
          <w:lang w:bidi="ar-SA"/>
        </w:rPr>
        <w:t xml:space="preserve"> where he lead strategic cybersecurity research and security services . Before that Etay held numerous leadership and research positions as an Executive Security Advisor at IBM where he created and led breach response training and security research and as Head of RSA Security</w:t>
      </w:r>
      <w:r w:rsidRPr="006C0099">
        <w:rPr>
          <w:rFonts w:ascii="Arial" w:eastAsia="Tw Cen MT" w:hAnsi="Tw Cen MT" w:cs="Tw Cen MT"/>
          <w:sz w:val="14"/>
          <w:lang w:bidi="ar-SA"/>
        </w:rPr>
        <w:t>’</w:t>
      </w:r>
      <w:r w:rsidRPr="006C0099">
        <w:rPr>
          <w:rFonts w:ascii="Arial" w:eastAsia="Tw Cen MT" w:hAnsi="Tw Cen MT" w:cs="Tw Cen MT"/>
          <w:sz w:val="14"/>
          <w:lang w:bidi="ar-SA"/>
        </w:rPr>
        <w:t>s Cyber Threats Research Labs where he managed malware research and intelligence teams and was part of cutting edge security research and operations.</w:t>
      </w:r>
      <w:r>
        <w:rPr>
          <w:rFonts w:ascii="Arial" w:eastAsia="Tw Cen MT" w:hAnsi="Tw Cen MT" w:cs="Tw Cen MT"/>
          <w:sz w:val="14"/>
          <w:lang w:bidi="ar-SA"/>
        </w:rPr>
        <w:t xml:space="preserve"> </w:t>
      </w:r>
      <w:r w:rsidRPr="006C0099">
        <w:rPr>
          <w:rFonts w:ascii="Arial"/>
          <w:sz w:val="14"/>
        </w:rPr>
        <w:t xml:space="preserve">Etay is an adjunct professor at Boston College and holds a BA in Computer Science and a MA in Counter Terrorism and Cyber Terrorism. Etay is a frequent featured speaker at major industry conferences and is part of RSA Conference and </w:t>
      </w:r>
      <w:proofErr w:type="spellStart"/>
      <w:r w:rsidRPr="006C0099">
        <w:rPr>
          <w:rFonts w:ascii="Arial"/>
          <w:sz w:val="14"/>
        </w:rPr>
        <w:t>QuBits</w:t>
      </w:r>
      <w:proofErr w:type="spellEnd"/>
      <w:r w:rsidRPr="006C0099">
        <w:rPr>
          <w:rFonts w:ascii="Arial"/>
          <w:sz w:val="14"/>
        </w:rPr>
        <w:t xml:space="preserve"> conference committees. </w:t>
      </w:r>
      <w:r w:rsidR="00A9710C">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proofErr w:type="gramStart"/>
      <w:r w:rsidR="00A9710C">
        <w:rPr>
          <w:rFonts w:ascii="Arial"/>
          <w:sz w:val="14"/>
        </w:rPr>
        <w:t xml:space="preserve">administration </w:t>
      </w:r>
      <w:r w:rsidR="000E2911">
        <w:rPr>
          <w:rFonts w:ascii="Arial"/>
          <w:sz w:val="14"/>
        </w:rPr>
        <w:t xml:space="preserve"> </w:t>
      </w:r>
      <w:r w:rsidR="00A9710C">
        <w:rPr>
          <w:rFonts w:ascii="Arial"/>
          <w:sz w:val="14"/>
        </w:rPr>
        <w:t>both</w:t>
      </w:r>
      <w:proofErr w:type="gramEnd"/>
      <w:r w:rsidR="00A9710C">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sidR="00A9710C">
        <w:rPr>
          <w:rFonts w:ascii="Arial"/>
          <w:sz w:val="14"/>
        </w:rPr>
        <w:t>focusing.</w:t>
      </w:r>
    </w:p>
    <w:p w14:paraId="5C45AB4B" w14:textId="63A16837" w:rsidR="00AE3E37" w:rsidRDefault="00A9710C">
      <w:pPr>
        <w:spacing w:before="62"/>
        <w:ind w:left="4217" w:right="4235"/>
        <w:jc w:val="center"/>
        <w:rPr>
          <w:rFonts w:ascii="Arial"/>
          <w:sz w:val="14"/>
        </w:rPr>
      </w:pPr>
      <w:r>
        <w:rPr>
          <w:rFonts w:ascii="Arial"/>
          <w:sz w:val="14"/>
        </w:rPr>
        <w:t xml:space="preserve">Email: </w:t>
      </w:r>
      <w:r w:rsidR="006C0099" w:rsidRPr="006C0099">
        <w:rPr>
          <w:rFonts w:ascii="Arial"/>
          <w:sz w:val="14"/>
        </w:rPr>
        <w:t>etay.maor@</w:t>
      </w:r>
      <w:r w:rsidR="006C0099">
        <w:rPr>
          <w:rFonts w:ascii="Arial"/>
          <w:sz w:val="14"/>
        </w:rPr>
        <w:t>catonetworks.com</w:t>
      </w:r>
    </w:p>
    <w:p w14:paraId="77C9515B"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48E7A92" wp14:editId="4901144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371D5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01430C98" w14:textId="77777777" w:rsidR="00AE3E37" w:rsidRDefault="00AE3E37">
      <w:pPr>
        <w:pStyle w:val="BodyText"/>
        <w:rPr>
          <w:rFonts w:ascii="Arial"/>
          <w:sz w:val="20"/>
        </w:rPr>
      </w:pPr>
    </w:p>
    <w:p w14:paraId="0446D281" w14:textId="77777777" w:rsidR="00AE3E37" w:rsidRDefault="00AE3E37">
      <w:pPr>
        <w:pStyle w:val="BodyText"/>
        <w:rPr>
          <w:rFonts w:ascii="Arial"/>
          <w:sz w:val="20"/>
        </w:rPr>
      </w:pPr>
    </w:p>
    <w:p w14:paraId="2C064395" w14:textId="77777777" w:rsidR="00AE3E37" w:rsidRDefault="00AE3E37">
      <w:pPr>
        <w:pStyle w:val="BodyText"/>
        <w:spacing w:before="7"/>
        <w:rPr>
          <w:rFonts w:ascii="Arial"/>
          <w:sz w:val="29"/>
        </w:rPr>
      </w:pPr>
    </w:p>
    <w:p w14:paraId="075B6A41" w14:textId="77777777" w:rsidR="00AE3E37" w:rsidRPr="00B21A57" w:rsidRDefault="00A9710C">
      <w:pPr>
        <w:spacing w:before="39"/>
        <w:ind w:left="100"/>
        <w:rPr>
          <w:rFonts w:ascii="Minion Pro"/>
          <w:b/>
          <w:sz w:val="20"/>
        </w:rPr>
      </w:pPr>
      <w:r w:rsidRPr="00B21A57">
        <w:rPr>
          <w:rFonts w:ascii="Minion Pro"/>
          <w:b/>
          <w:sz w:val="20"/>
        </w:rPr>
        <w:t>Notes/Comments:</w:t>
      </w:r>
    </w:p>
    <w:p w14:paraId="5907FFDD"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2EFA4FB" w14:textId="66619FE9"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A82BCA" w14:textId="77777777" w:rsidR="004015F7" w:rsidRDefault="004015F7">
      <w:r>
        <w:separator/>
      </w:r>
    </w:p>
  </w:endnote>
  <w:endnote w:type="continuationSeparator" w:id="0">
    <w:p w14:paraId="5D8EEF7F" w14:textId="77777777" w:rsidR="004015F7" w:rsidRDefault="00401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E9854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91AF684" wp14:editId="2A6FFD8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E48EE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04B9D7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1AF684"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79E48EE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04B9D7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55EA44D" wp14:editId="3AD1D98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38CE5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D515F3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5EA44D"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0B38CE5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D515F3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F936C7C" wp14:editId="75B5935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98478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9FCEB5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936C7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6198478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9FCEB5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24BDCB" w14:textId="77777777" w:rsidR="004015F7" w:rsidRDefault="004015F7">
      <w:r>
        <w:separator/>
      </w:r>
    </w:p>
  </w:footnote>
  <w:footnote w:type="continuationSeparator" w:id="0">
    <w:p w14:paraId="63C83329" w14:textId="77777777" w:rsidR="004015F7" w:rsidRDefault="004015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B2499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360C116" wp14:editId="51DC211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E300BF" w14:textId="77777777" w:rsidR="00AE3E37" w:rsidRPr="006C0099" w:rsidRDefault="00A9710C">
                          <w:pPr>
                            <w:spacing w:before="2" w:line="249" w:lineRule="auto"/>
                            <w:ind w:left="156" w:right="18" w:hanging="137"/>
                            <w:rPr>
                              <w:rFonts w:ascii="Arial"/>
                              <w:color w:val="FFFFFF" w:themeColor="background1"/>
                              <w:sz w:val="14"/>
                              <w:lang w:val="fr-FR"/>
                            </w:rPr>
                          </w:pPr>
                          <w:r w:rsidRPr="006C0099">
                            <w:rPr>
                              <w:rFonts w:ascii="Arial"/>
                              <w:color w:val="FFFFFF" w:themeColor="background1"/>
                              <w:sz w:val="14"/>
                              <w:lang w:val="fr-FR"/>
                            </w:rPr>
                            <w:t xml:space="preserve">T Furuta et al., J Pai n Relief 2016, 5:3(Suppl) </w:t>
                          </w:r>
                          <w:r w:rsidR="004015F7">
                            <w:fldChar w:fldCharType="begin"/>
                          </w:r>
                          <w:r w:rsidR="004015F7" w:rsidRPr="006C0099">
                            <w:rPr>
                              <w:lang w:val="fr-FR"/>
                            </w:rPr>
                            <w:instrText xml:space="preserve"> HYPERLINK "http://dx.doi.org/10.4172/2167-0846.C1.006" \h </w:instrText>
                          </w:r>
                          <w:r w:rsidR="004015F7">
                            <w:fldChar w:fldCharType="separate"/>
                          </w:r>
                          <w:r w:rsidRPr="006C0099">
                            <w:rPr>
                              <w:rFonts w:ascii="Arial"/>
                              <w:color w:val="FFFFFF" w:themeColor="background1"/>
                              <w:sz w:val="14"/>
                              <w:lang w:val="fr-FR"/>
                            </w:rPr>
                            <w:t>http://dx.doi.org/10.4172/2167-0846.C1.006</w:t>
                          </w:r>
                          <w:r w:rsidR="004015F7">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60C116"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51E300BF" w14:textId="77777777" w:rsidR="00AE3E37" w:rsidRPr="006C0099" w:rsidRDefault="00A9710C">
                    <w:pPr>
                      <w:spacing w:before="2" w:line="249" w:lineRule="auto"/>
                      <w:ind w:left="156" w:right="18" w:hanging="137"/>
                      <w:rPr>
                        <w:rFonts w:ascii="Arial"/>
                        <w:color w:val="FFFFFF" w:themeColor="background1"/>
                        <w:sz w:val="14"/>
                        <w:lang w:val="fr-FR"/>
                      </w:rPr>
                    </w:pPr>
                    <w:r w:rsidRPr="006C0099">
                      <w:rPr>
                        <w:rFonts w:ascii="Arial"/>
                        <w:color w:val="FFFFFF" w:themeColor="background1"/>
                        <w:sz w:val="14"/>
                        <w:lang w:val="fr-FR"/>
                      </w:rPr>
                      <w:t xml:space="preserve">T Furuta et al., J Pai n Relief 2016, 5:3(Suppl) </w:t>
                    </w:r>
                    <w:r w:rsidR="004015F7">
                      <w:fldChar w:fldCharType="begin"/>
                    </w:r>
                    <w:r w:rsidR="004015F7" w:rsidRPr="006C0099">
                      <w:rPr>
                        <w:lang w:val="fr-FR"/>
                      </w:rPr>
                      <w:instrText xml:space="preserve"> HYPERLINK "http://dx.doi.org/10.4172/2167-0846.C1.006" \h </w:instrText>
                    </w:r>
                    <w:r w:rsidR="004015F7">
                      <w:fldChar w:fldCharType="separate"/>
                    </w:r>
                    <w:r w:rsidRPr="006C0099">
                      <w:rPr>
                        <w:rFonts w:ascii="Arial"/>
                        <w:color w:val="FFFFFF" w:themeColor="background1"/>
                        <w:sz w:val="14"/>
                        <w:lang w:val="fr-FR"/>
                      </w:rPr>
                      <w:t>http://dx.doi.org/10.4172/2167-0846.C1.006</w:t>
                    </w:r>
                    <w:r w:rsidR="004015F7">
                      <w:rPr>
                        <w:rFonts w:ascii="Arial"/>
                        <w:color w:val="FFFFFF" w:themeColor="background1"/>
                        <w:sz w:val="14"/>
                      </w:rPr>
                      <w:fldChar w:fldCharType="end"/>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4EF3140" wp14:editId="6741245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B98A5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5FDFD2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EF3140"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01B98A5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5FDFD2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92ED9"/>
    <w:rsid w:val="002C31E2"/>
    <w:rsid w:val="004015F7"/>
    <w:rsid w:val="00404E5B"/>
    <w:rsid w:val="00414F7B"/>
    <w:rsid w:val="004355DC"/>
    <w:rsid w:val="004749B4"/>
    <w:rsid w:val="00494130"/>
    <w:rsid w:val="004F3523"/>
    <w:rsid w:val="005973B9"/>
    <w:rsid w:val="005B3A56"/>
    <w:rsid w:val="006060CE"/>
    <w:rsid w:val="0063497F"/>
    <w:rsid w:val="006C0099"/>
    <w:rsid w:val="00873DF0"/>
    <w:rsid w:val="008756E6"/>
    <w:rsid w:val="008A08B6"/>
    <w:rsid w:val="009B2D44"/>
    <w:rsid w:val="00A07E82"/>
    <w:rsid w:val="00A9710C"/>
    <w:rsid w:val="00AE3E37"/>
    <w:rsid w:val="00B21A57"/>
    <w:rsid w:val="00BE72B1"/>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3BBBAA"/>
  <w15:docId w15:val="{A78B6ABE-D9CB-4C81-993E-55D8CEBFD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6C0099"/>
    <w:pPr>
      <w:widowControl/>
      <w:spacing w:before="100" w:beforeAutospacing="1" w:after="100" w:afterAutospacing="1"/>
    </w:pPr>
    <w:rPr>
      <w:rFonts w:ascii="Calibri" w:eastAsiaTheme="minorHAnsi" w:hAnsi="Calibri" w:cs="Calibri"/>
      <w:lang w:bidi="he-IL"/>
    </w:rPr>
  </w:style>
  <w:style w:type="character" w:styleId="UnresolvedMention">
    <w:name w:val="Unresolved Mention"/>
    <w:basedOn w:val="DefaultParagraphFont"/>
    <w:uiPriority w:val="99"/>
    <w:semiHidden/>
    <w:unhideWhenUsed/>
    <w:rsid w:val="006C00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idgconnect.com/article/3584689/secret-cso-etay-maor-intsights.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intsights.com/blog/zooming-in-on-the-target-cybercriminals-automate-attacks-against-remote-worker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atonetworks.com/blog/threats-and-attacks-against-ics-systems/" TargetMode="External"/><Relationship Id="rId5" Type="http://schemas.openxmlformats.org/officeDocument/2006/relationships/footnotes" Target="footnotes.xml"/><Relationship Id="rId15" Type="http://schemas.openxmlformats.org/officeDocument/2006/relationships/hyperlink" Target="https://intsights.com/blog/pandemic-unemployment-scams-made-easy" TargetMode="External"/><Relationship Id="rId10" Type="http://schemas.openxmlformats.org/officeDocument/2006/relationships/hyperlink" Target="https://www.catonetworks.com/blog/the-biggest-misconception-about-zero-day-attacks/"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www.catonetworks.com/blog/new-microsoft-exchange-vulnerability-disclos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703</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Etay Maor</cp:lastModifiedBy>
  <cp:revision>2</cp:revision>
  <dcterms:created xsi:type="dcterms:W3CDTF">2021-05-05T19:35:00Z</dcterms:created>
  <dcterms:modified xsi:type="dcterms:W3CDTF">2021-05-05T19:35:00Z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