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648" w:rsidRPr="00541FB1" w:rsidRDefault="00601648" w:rsidP="00601648">
      <w:pPr>
        <w:jc w:val="center"/>
        <w:rPr>
          <w:rFonts w:ascii="Minion Pro" w:hAnsi="Minion Pro" w:cs="Arial"/>
          <w:b/>
          <w:bCs/>
          <w:sz w:val="36"/>
          <w:szCs w:val="36"/>
          <w:lang w:val="en-US"/>
        </w:rPr>
      </w:pPr>
      <w:r w:rsidRPr="00541FB1">
        <w:rPr>
          <w:rFonts w:ascii="Minion Pro" w:hAnsi="Minion Pro" w:cs="Arial"/>
          <w:b/>
          <w:sz w:val="36"/>
          <w:szCs w:val="36"/>
          <w:lang w:val="en-US"/>
        </w:rPr>
        <w:t xml:space="preserve">Recommendations </w:t>
      </w:r>
      <w:r w:rsidRPr="00541FB1">
        <w:rPr>
          <w:rFonts w:ascii="Minion Pro" w:hAnsi="Minion Pro" w:cs="Arial"/>
          <w:b/>
          <w:bCs/>
          <w:sz w:val="36"/>
          <w:szCs w:val="36"/>
          <w:lang w:val="en-US"/>
        </w:rPr>
        <w:t xml:space="preserve">for </w:t>
      </w:r>
      <w:r w:rsidR="00255CF9" w:rsidRPr="00541FB1">
        <w:rPr>
          <w:rFonts w:ascii="Minion Pro" w:hAnsi="Minion Pro" w:cs="Arial"/>
          <w:b/>
          <w:bCs/>
          <w:sz w:val="36"/>
          <w:szCs w:val="36"/>
          <w:lang w:val="en-US"/>
        </w:rPr>
        <w:t xml:space="preserve">an adequate </w:t>
      </w:r>
      <w:r w:rsidRPr="00541FB1">
        <w:rPr>
          <w:rFonts w:ascii="Minion Pro" w:hAnsi="Minion Pro" w:cs="Arial"/>
          <w:b/>
          <w:bCs/>
          <w:sz w:val="36"/>
          <w:szCs w:val="36"/>
          <w:lang w:val="en-US"/>
        </w:rPr>
        <w:t xml:space="preserve">sedation and analgesia in critical ill children </w:t>
      </w:r>
      <w:r w:rsidR="002B0753">
        <w:rPr>
          <w:rFonts w:ascii="Minion Pro" w:hAnsi="Minion Pro" w:cs="Arial"/>
          <w:b/>
          <w:bCs/>
          <w:sz w:val="36"/>
          <w:szCs w:val="36"/>
          <w:lang w:val="en-US"/>
        </w:rPr>
        <w:t xml:space="preserve">and </w:t>
      </w:r>
      <w:bookmarkStart w:id="0" w:name="_GoBack"/>
      <w:bookmarkEnd w:id="0"/>
      <w:r w:rsidR="00FA6B50" w:rsidRPr="00541FB1">
        <w:rPr>
          <w:rFonts w:ascii="Minion Pro" w:hAnsi="Minion Pro" w:cs="Arial"/>
          <w:b/>
          <w:bCs/>
          <w:sz w:val="36"/>
          <w:szCs w:val="36"/>
          <w:lang w:val="en-US"/>
        </w:rPr>
        <w:t>with COVID 19</w:t>
      </w:r>
      <w:r w:rsidR="00FA6B50">
        <w:rPr>
          <w:rFonts w:ascii="Minion Pro" w:hAnsi="Minion Pro" w:cs="Arial"/>
          <w:b/>
          <w:bCs/>
          <w:sz w:val="36"/>
          <w:szCs w:val="36"/>
          <w:lang w:val="en-US"/>
        </w:rPr>
        <w:t xml:space="preserve"> </w:t>
      </w:r>
      <w:r w:rsidRPr="00541FB1">
        <w:rPr>
          <w:rFonts w:ascii="Minion Pro" w:hAnsi="Minion Pro" w:cs="Arial"/>
          <w:b/>
          <w:bCs/>
          <w:sz w:val="36"/>
          <w:szCs w:val="36"/>
          <w:lang w:val="en-US"/>
        </w:rPr>
        <w:t xml:space="preserve">in the PICU </w:t>
      </w:r>
    </w:p>
    <w:p w:rsidR="001D770F" w:rsidRDefault="001D770F" w:rsidP="004A1327">
      <w:pPr>
        <w:rPr>
          <w:rFonts w:ascii="Arial" w:hAnsi="Arial" w:cs="Arial"/>
          <w:lang w:val="en-US"/>
        </w:rPr>
        <w:sectPr w:rsidR="001D770F">
          <w:pgSz w:w="12240" w:h="15840"/>
          <w:pgMar w:top="1417" w:right="1701" w:bottom="1417" w:left="1701" w:header="708" w:footer="708" w:gutter="0"/>
          <w:cols w:space="708"/>
          <w:docGrid w:linePitch="360"/>
        </w:sectPr>
      </w:pPr>
    </w:p>
    <w:p w:rsidR="004A1327" w:rsidRDefault="004A1327" w:rsidP="004A1327">
      <w:pPr>
        <w:rPr>
          <w:rFonts w:ascii="Arial" w:hAnsi="Arial" w:cs="Arial"/>
          <w:lang w:val="en-US"/>
        </w:rPr>
      </w:pPr>
    </w:p>
    <w:p w:rsidR="00E512C4" w:rsidRDefault="00E512C4" w:rsidP="004A1327">
      <w:pPr>
        <w:spacing w:line="240" w:lineRule="auto"/>
        <w:rPr>
          <w:rFonts w:ascii="Arial" w:hAnsi="Arial" w:cs="Arial"/>
          <w:sz w:val="20"/>
          <w:szCs w:val="20"/>
          <w:lang w:val="en-US"/>
        </w:rPr>
        <w:sectPr w:rsidR="00E512C4" w:rsidSect="001D770F">
          <w:type w:val="continuous"/>
          <w:pgSz w:w="12240" w:h="15840"/>
          <w:pgMar w:top="1417" w:right="1701" w:bottom="1417" w:left="1701" w:header="708" w:footer="708" w:gutter="0"/>
          <w:cols w:space="708"/>
          <w:docGrid w:linePitch="360"/>
        </w:sectPr>
      </w:pPr>
    </w:p>
    <w:p w:rsidR="001D770F" w:rsidRDefault="004A1327" w:rsidP="001D770F">
      <w:pPr>
        <w:spacing w:line="240" w:lineRule="auto"/>
        <w:rPr>
          <w:rFonts w:ascii="Arial" w:hAnsi="Arial" w:cs="Arial"/>
          <w:sz w:val="18"/>
          <w:szCs w:val="18"/>
        </w:rPr>
      </w:pPr>
      <w:r w:rsidRPr="00455CF9">
        <w:rPr>
          <w:rFonts w:ascii="Arial" w:hAnsi="Arial" w:cs="Arial"/>
          <w:sz w:val="18"/>
          <w:szCs w:val="18"/>
        </w:rPr>
        <w:t>M. Eugenia Teran</w:t>
      </w:r>
      <w:r w:rsidR="00455CF9" w:rsidRPr="00455CF9">
        <w:rPr>
          <w:rFonts w:ascii="Arial" w:hAnsi="Arial" w:cs="Arial"/>
          <w:sz w:val="18"/>
          <w:szCs w:val="18"/>
        </w:rPr>
        <w:t xml:space="preserve"> (MD) Hospital de Niños Ricardo</w:t>
      </w:r>
      <w:r w:rsidR="001D770F">
        <w:rPr>
          <w:rFonts w:ascii="Arial" w:hAnsi="Arial" w:cs="Arial"/>
          <w:sz w:val="18"/>
          <w:szCs w:val="18"/>
        </w:rPr>
        <w:t xml:space="preserve"> </w:t>
      </w:r>
      <w:r w:rsidR="001D770F" w:rsidRPr="00455CF9">
        <w:rPr>
          <w:rFonts w:ascii="Arial" w:hAnsi="Arial" w:cs="Arial"/>
          <w:sz w:val="18"/>
          <w:szCs w:val="18"/>
        </w:rPr>
        <w:t>Gutierrez, CABA, Argentina</w:t>
      </w:r>
    </w:p>
    <w:p w:rsidR="001D770F" w:rsidRDefault="00455CF9" w:rsidP="001D770F">
      <w:pPr>
        <w:spacing w:line="240" w:lineRule="auto"/>
        <w:rPr>
          <w:rFonts w:ascii="Arial" w:hAnsi="Arial" w:cs="Arial"/>
          <w:sz w:val="18"/>
          <w:szCs w:val="18"/>
        </w:rPr>
      </w:pPr>
      <w:r w:rsidRPr="001D770F">
        <w:rPr>
          <w:rFonts w:ascii="Arial" w:hAnsi="Arial" w:cs="Arial"/>
          <w:sz w:val="18"/>
          <w:szCs w:val="18"/>
        </w:rPr>
        <w:t xml:space="preserve">Claudia Berrondo (MD) </w:t>
      </w:r>
      <w:r w:rsidR="001D770F" w:rsidRPr="00455CF9">
        <w:rPr>
          <w:rFonts w:ascii="Arial" w:hAnsi="Arial" w:cs="Arial"/>
          <w:sz w:val="18"/>
          <w:szCs w:val="18"/>
        </w:rPr>
        <w:t>Hospital de Niños Ricardo</w:t>
      </w:r>
      <w:r w:rsidR="001D770F">
        <w:rPr>
          <w:rFonts w:ascii="Arial" w:hAnsi="Arial" w:cs="Arial"/>
          <w:sz w:val="18"/>
          <w:szCs w:val="18"/>
        </w:rPr>
        <w:t xml:space="preserve"> </w:t>
      </w:r>
      <w:r w:rsidR="001D770F" w:rsidRPr="00455CF9">
        <w:rPr>
          <w:rFonts w:ascii="Arial" w:hAnsi="Arial" w:cs="Arial"/>
          <w:sz w:val="18"/>
          <w:szCs w:val="18"/>
        </w:rPr>
        <w:t>Gutierrez, CABA, Argentina</w:t>
      </w:r>
    </w:p>
    <w:p w:rsidR="00455CF9" w:rsidRPr="001D770F" w:rsidRDefault="001D770F" w:rsidP="00455CF9">
      <w:pPr>
        <w:spacing w:line="240" w:lineRule="auto"/>
        <w:rPr>
          <w:rFonts w:ascii="Arial" w:hAnsi="Arial" w:cs="Arial"/>
          <w:sz w:val="18"/>
          <w:szCs w:val="18"/>
        </w:rPr>
      </w:pPr>
      <w:r>
        <w:rPr>
          <w:rFonts w:ascii="Arial" w:hAnsi="Arial" w:cs="Arial"/>
          <w:sz w:val="18"/>
          <w:szCs w:val="18"/>
        </w:rPr>
        <w:t xml:space="preserve">Sofia Lucini (Pharm) </w:t>
      </w:r>
      <w:r w:rsidRPr="001D770F">
        <w:rPr>
          <w:rFonts w:ascii="Arial" w:hAnsi="Arial" w:cs="Arial"/>
          <w:sz w:val="18"/>
          <w:szCs w:val="18"/>
        </w:rPr>
        <w:t>Hospital de Alta Complejidad en Red “El Cruce Dr. Néstor Kirchner”, Buenos Aires, Argentina</w:t>
      </w:r>
    </w:p>
    <w:p w:rsidR="001D770F" w:rsidRDefault="001D770F" w:rsidP="001D770F">
      <w:pPr>
        <w:spacing w:line="240" w:lineRule="auto"/>
        <w:rPr>
          <w:rFonts w:ascii="Arial" w:hAnsi="Arial" w:cs="Arial"/>
          <w:sz w:val="18"/>
          <w:szCs w:val="18"/>
        </w:rPr>
      </w:pPr>
      <w:r w:rsidRPr="001D770F">
        <w:rPr>
          <w:rFonts w:ascii="Arial" w:hAnsi="Arial" w:cs="Arial"/>
          <w:sz w:val="18"/>
          <w:szCs w:val="18"/>
        </w:rPr>
        <w:t>Mariana Mezzenzani (Pharm</w:t>
      </w:r>
      <w:r w:rsidRPr="001D770F">
        <w:rPr>
          <w:rFonts w:ascii="Arial" w:hAnsi="Arial" w:cs="Arial"/>
          <w:sz w:val="24"/>
          <w:szCs w:val="24"/>
        </w:rPr>
        <w:t xml:space="preserve">) </w:t>
      </w:r>
      <w:r w:rsidRPr="00455CF9">
        <w:rPr>
          <w:rFonts w:ascii="Arial" w:hAnsi="Arial" w:cs="Arial"/>
          <w:sz w:val="18"/>
          <w:szCs w:val="18"/>
        </w:rPr>
        <w:t>Hospital de Niños Ricardo</w:t>
      </w:r>
      <w:r>
        <w:rPr>
          <w:rFonts w:ascii="Arial" w:hAnsi="Arial" w:cs="Arial"/>
          <w:sz w:val="18"/>
          <w:szCs w:val="18"/>
        </w:rPr>
        <w:t xml:space="preserve"> </w:t>
      </w:r>
      <w:r w:rsidRPr="00455CF9">
        <w:rPr>
          <w:rFonts w:ascii="Arial" w:hAnsi="Arial" w:cs="Arial"/>
          <w:sz w:val="18"/>
          <w:szCs w:val="18"/>
        </w:rPr>
        <w:t>Gutierrez, CABA, Argentina</w:t>
      </w:r>
    </w:p>
    <w:p w:rsidR="001D770F" w:rsidRDefault="001D770F" w:rsidP="001D770F">
      <w:pPr>
        <w:spacing w:line="240" w:lineRule="auto"/>
        <w:rPr>
          <w:rFonts w:ascii="Arial" w:hAnsi="Arial" w:cs="Arial"/>
          <w:sz w:val="18"/>
          <w:szCs w:val="18"/>
        </w:rPr>
      </w:pPr>
      <w:r>
        <w:rPr>
          <w:rFonts w:ascii="Arial" w:hAnsi="Arial" w:cs="Arial"/>
          <w:sz w:val="18"/>
          <w:szCs w:val="18"/>
        </w:rPr>
        <w:t xml:space="preserve">Roxana Romero (PT) </w:t>
      </w:r>
      <w:r w:rsidRPr="00455CF9">
        <w:rPr>
          <w:rFonts w:ascii="Arial" w:hAnsi="Arial" w:cs="Arial"/>
          <w:sz w:val="18"/>
          <w:szCs w:val="18"/>
        </w:rPr>
        <w:t>Hospital de Niños Ricardo</w:t>
      </w:r>
      <w:r>
        <w:rPr>
          <w:rFonts w:ascii="Arial" w:hAnsi="Arial" w:cs="Arial"/>
          <w:sz w:val="18"/>
          <w:szCs w:val="18"/>
        </w:rPr>
        <w:t xml:space="preserve"> </w:t>
      </w:r>
      <w:r w:rsidRPr="00455CF9">
        <w:rPr>
          <w:rFonts w:ascii="Arial" w:hAnsi="Arial" w:cs="Arial"/>
          <w:sz w:val="18"/>
          <w:szCs w:val="18"/>
        </w:rPr>
        <w:t>Gutierrez, CABA, Argentina</w:t>
      </w:r>
    </w:p>
    <w:p w:rsidR="001D770F" w:rsidRDefault="001D770F" w:rsidP="001D770F">
      <w:pPr>
        <w:spacing w:line="240" w:lineRule="auto"/>
        <w:rPr>
          <w:rFonts w:ascii="Arial" w:hAnsi="Arial" w:cs="Arial"/>
          <w:sz w:val="18"/>
          <w:szCs w:val="18"/>
        </w:rPr>
      </w:pPr>
    </w:p>
    <w:p w:rsidR="001D770F" w:rsidRDefault="001D770F" w:rsidP="00601648">
      <w:pPr>
        <w:jc w:val="both"/>
        <w:rPr>
          <w:rFonts w:ascii="Arial" w:hAnsi="Arial" w:cs="Arial"/>
          <w:sz w:val="24"/>
          <w:szCs w:val="24"/>
        </w:rPr>
        <w:sectPr w:rsidR="001D770F" w:rsidSect="001D770F">
          <w:type w:val="continuous"/>
          <w:pgSz w:w="12240" w:h="15840"/>
          <w:pgMar w:top="1417" w:right="1701" w:bottom="1417" w:left="1701" w:header="708" w:footer="708" w:gutter="0"/>
          <w:cols w:space="708"/>
          <w:docGrid w:linePitch="360"/>
        </w:sectPr>
      </w:pPr>
    </w:p>
    <w:p w:rsidR="00BC4680" w:rsidRPr="001D770F" w:rsidRDefault="00BC4680" w:rsidP="00601648">
      <w:pPr>
        <w:jc w:val="both"/>
        <w:rPr>
          <w:rFonts w:ascii="Arial" w:hAnsi="Arial" w:cs="Arial"/>
          <w:sz w:val="24"/>
          <w:szCs w:val="24"/>
        </w:rPr>
      </w:pPr>
    </w:p>
    <w:p w:rsidR="00601648" w:rsidRPr="00DD5420" w:rsidRDefault="003B5A50" w:rsidP="00601648">
      <w:pPr>
        <w:jc w:val="both"/>
        <w:rPr>
          <w:rFonts w:ascii="Tw Cen MT" w:hAnsi="Tw Cen MT" w:cs="Arial"/>
          <w:sz w:val="18"/>
          <w:szCs w:val="18"/>
          <w:lang w:val="en-US"/>
        </w:rPr>
      </w:pPr>
      <w:r w:rsidRPr="003B5A50">
        <w:rPr>
          <w:rFonts w:ascii="Tw Cen MT" w:hAnsi="Tw Cen MT" w:cs="Arial"/>
          <w:b/>
          <w:sz w:val="18"/>
          <w:szCs w:val="18"/>
          <w:lang w:val="en-US"/>
        </w:rPr>
        <w:t>Background:</w:t>
      </w:r>
      <w:r>
        <w:rPr>
          <w:rFonts w:ascii="Tw Cen MT" w:hAnsi="Tw Cen MT" w:cs="Arial"/>
          <w:sz w:val="18"/>
          <w:szCs w:val="18"/>
          <w:lang w:val="en-US"/>
        </w:rPr>
        <w:t xml:space="preserve"> </w:t>
      </w:r>
      <w:r w:rsidR="00601648" w:rsidRPr="00DD5420">
        <w:rPr>
          <w:rFonts w:ascii="Tw Cen MT" w:hAnsi="Tw Cen MT" w:cs="Arial"/>
          <w:sz w:val="18"/>
          <w:szCs w:val="18"/>
          <w:lang w:val="en-US"/>
        </w:rPr>
        <w:t>In the Pediatric Critical Care Units (PICUs) the adequate management of sedation and analgesia becomes very important, because it is necessary to keep the child quiet and without pain. Evaluation of pain and sedation must be a common practice.</w:t>
      </w:r>
      <w:r>
        <w:rPr>
          <w:rFonts w:ascii="Tw Cen MT" w:hAnsi="Tw Cen MT" w:cs="Arial"/>
          <w:sz w:val="18"/>
          <w:szCs w:val="18"/>
          <w:lang w:val="en-US"/>
        </w:rPr>
        <w:t xml:space="preserve"> </w:t>
      </w:r>
      <w:r w:rsidR="00601648" w:rsidRPr="00DD5420">
        <w:rPr>
          <w:rFonts w:ascii="Tw Cen MT" w:hAnsi="Tw Cen MT" w:cs="Arial"/>
          <w:sz w:val="18"/>
          <w:szCs w:val="18"/>
          <w:lang w:val="en-US"/>
        </w:rPr>
        <w:t>It is essential to know the available d</w:t>
      </w:r>
      <w:r>
        <w:rPr>
          <w:rFonts w:ascii="Tw Cen MT" w:hAnsi="Tw Cen MT" w:cs="Arial"/>
          <w:sz w:val="18"/>
          <w:szCs w:val="18"/>
          <w:lang w:val="en-US"/>
        </w:rPr>
        <w:t xml:space="preserve">rugs, the correct use of doses, </w:t>
      </w:r>
      <w:r w:rsidR="00A10680" w:rsidRPr="00DD5420">
        <w:rPr>
          <w:rFonts w:ascii="Tw Cen MT" w:hAnsi="Tw Cen MT" w:cs="Arial"/>
          <w:sz w:val="18"/>
          <w:szCs w:val="18"/>
          <w:lang w:val="en-US"/>
        </w:rPr>
        <w:t>their</w:t>
      </w:r>
      <w:r w:rsidR="00601648" w:rsidRPr="00DD5420">
        <w:rPr>
          <w:rFonts w:ascii="Tw Cen MT" w:hAnsi="Tw Cen MT" w:cs="Arial"/>
          <w:sz w:val="18"/>
          <w:szCs w:val="18"/>
          <w:lang w:val="en-US"/>
        </w:rPr>
        <w:t xml:space="preserve"> main adverse effects and interactions. </w:t>
      </w:r>
      <w:r w:rsidR="00A10680" w:rsidRPr="00DD5420">
        <w:rPr>
          <w:rFonts w:ascii="Tw Cen MT" w:hAnsi="Tw Cen MT" w:cs="Arial"/>
          <w:sz w:val="18"/>
          <w:szCs w:val="18"/>
          <w:lang w:val="en-US"/>
        </w:rPr>
        <w:t>It must be remembered</w:t>
      </w:r>
      <w:r w:rsidR="00601648" w:rsidRPr="00DD5420">
        <w:rPr>
          <w:rFonts w:ascii="Tw Cen MT" w:hAnsi="Tw Cen MT" w:cs="Arial"/>
          <w:sz w:val="18"/>
          <w:szCs w:val="18"/>
          <w:lang w:val="en-US"/>
        </w:rPr>
        <w:t xml:space="preserve"> that kids have a different idiosyncrasy as well the differentiated management that children require</w:t>
      </w:r>
      <w:r w:rsidR="00A10680" w:rsidRPr="00DD5420">
        <w:rPr>
          <w:rFonts w:ascii="Tw Cen MT" w:hAnsi="Tw Cen MT" w:cs="Arial"/>
          <w:sz w:val="18"/>
          <w:szCs w:val="18"/>
          <w:lang w:val="en-US"/>
        </w:rPr>
        <w:t>.</w:t>
      </w:r>
      <w:r w:rsidR="00601648" w:rsidRPr="00DD5420">
        <w:rPr>
          <w:rFonts w:ascii="Tw Cen MT" w:hAnsi="Tw Cen MT" w:cs="Arial"/>
          <w:sz w:val="18"/>
          <w:szCs w:val="18"/>
          <w:lang w:val="en-US"/>
        </w:rPr>
        <w:t xml:space="preserve"> </w:t>
      </w:r>
      <w:r w:rsidR="00A10680" w:rsidRPr="00DD5420">
        <w:rPr>
          <w:rFonts w:ascii="Tw Cen MT" w:hAnsi="Tw Cen MT" w:cs="Arial"/>
          <w:sz w:val="18"/>
          <w:szCs w:val="18"/>
          <w:lang w:val="en-US"/>
        </w:rPr>
        <w:t>A</w:t>
      </w:r>
      <w:r w:rsidR="00601648" w:rsidRPr="00DD5420">
        <w:rPr>
          <w:rFonts w:ascii="Tw Cen MT" w:hAnsi="Tw Cen MT" w:cs="Arial"/>
          <w:sz w:val="18"/>
          <w:szCs w:val="18"/>
          <w:lang w:val="en-US"/>
        </w:rPr>
        <w:t xml:space="preserve"> rutinary evaluation allows the intensivist, to avoid or diminish, delirium and withdrawal in order to ensure an adequate care</w:t>
      </w:r>
      <w:r w:rsidR="00601648" w:rsidRPr="00DD5420">
        <w:rPr>
          <w:rFonts w:ascii="Tw Cen MT" w:hAnsi="Tw Cen MT"/>
          <w:sz w:val="18"/>
          <w:szCs w:val="18"/>
          <w:lang w:val="en-US"/>
        </w:rPr>
        <w:t>.</w:t>
      </w:r>
      <w:r>
        <w:rPr>
          <w:rFonts w:ascii="Tw Cen MT" w:hAnsi="Tw Cen MT"/>
          <w:sz w:val="18"/>
          <w:szCs w:val="18"/>
          <w:lang w:val="en-US"/>
        </w:rPr>
        <w:t xml:space="preserve"> In patients with</w:t>
      </w:r>
      <w:r w:rsidRPr="003B5A50">
        <w:rPr>
          <w:rFonts w:ascii="Tw Cen MT" w:hAnsi="Tw Cen MT" w:cs="Arial"/>
          <w:sz w:val="18"/>
          <w:szCs w:val="18"/>
          <w:lang w:val="en-US"/>
        </w:rPr>
        <w:t xml:space="preserve"> </w:t>
      </w:r>
      <w:r>
        <w:rPr>
          <w:rFonts w:ascii="Tw Cen MT" w:hAnsi="Tw Cen MT" w:cs="Arial"/>
          <w:sz w:val="18"/>
          <w:szCs w:val="18"/>
          <w:lang w:val="en-US"/>
        </w:rPr>
        <w:t xml:space="preserve">COVID 19 that require critical care is important to adequate the previous treatment strategies. </w:t>
      </w:r>
    </w:p>
    <w:p w:rsidR="003B5A50" w:rsidRDefault="003B5A50" w:rsidP="003B5A50">
      <w:pPr>
        <w:jc w:val="both"/>
        <w:rPr>
          <w:rFonts w:ascii="Tw Cen MT" w:hAnsi="Tw Cen MT" w:cs="Arial"/>
          <w:sz w:val="18"/>
          <w:szCs w:val="18"/>
          <w:lang w:val="en-US"/>
        </w:rPr>
      </w:pPr>
      <w:r>
        <w:rPr>
          <w:rFonts w:ascii="Tw Cen MT" w:hAnsi="Tw Cen MT" w:cs="Arial"/>
          <w:b/>
          <w:sz w:val="18"/>
          <w:szCs w:val="18"/>
          <w:lang w:val="en-US"/>
        </w:rPr>
        <w:t>Objective</w:t>
      </w:r>
      <w:r>
        <w:rPr>
          <w:rFonts w:ascii="Tw Cen MT" w:hAnsi="Tw Cen MT" w:cs="Arial"/>
          <w:sz w:val="18"/>
          <w:szCs w:val="18"/>
          <w:lang w:val="en-US"/>
        </w:rPr>
        <w:t xml:space="preserve">: </w:t>
      </w:r>
      <w:r w:rsidR="00455CF9">
        <w:rPr>
          <w:rFonts w:ascii="Tw Cen MT" w:hAnsi="Tw Cen MT" w:cs="Arial"/>
          <w:sz w:val="18"/>
          <w:szCs w:val="18"/>
          <w:lang w:val="en-US"/>
        </w:rPr>
        <w:t>The objective of this paper was t</w:t>
      </w:r>
      <w:r>
        <w:rPr>
          <w:rFonts w:ascii="Tw Cen MT" w:hAnsi="Tw Cen MT" w:cs="Arial"/>
          <w:sz w:val="18"/>
          <w:szCs w:val="18"/>
          <w:lang w:val="en-US"/>
        </w:rPr>
        <w:t>o develop</w:t>
      </w:r>
      <w:r w:rsidR="00455CF9">
        <w:rPr>
          <w:rFonts w:ascii="Tw Cen MT" w:hAnsi="Tw Cen MT" w:cs="Arial"/>
          <w:sz w:val="18"/>
          <w:szCs w:val="18"/>
          <w:lang w:val="en-US"/>
        </w:rPr>
        <w:t xml:space="preserve"> practical an evidence base recommendation</w:t>
      </w:r>
      <w:r>
        <w:rPr>
          <w:rFonts w:ascii="Tw Cen MT" w:hAnsi="Tw Cen MT" w:cs="Arial"/>
          <w:sz w:val="18"/>
          <w:szCs w:val="18"/>
          <w:lang w:val="en-US"/>
        </w:rPr>
        <w:t xml:space="preserve"> for the </w:t>
      </w:r>
      <w:r w:rsidRPr="00DD5420">
        <w:rPr>
          <w:rFonts w:ascii="Tw Cen MT" w:hAnsi="Tw Cen MT" w:cs="Arial"/>
          <w:sz w:val="18"/>
          <w:szCs w:val="18"/>
          <w:lang w:val="en-US"/>
        </w:rPr>
        <w:t>proper management of analgesia and sedation together</w:t>
      </w:r>
      <w:r>
        <w:rPr>
          <w:rFonts w:ascii="Tw Cen MT" w:hAnsi="Tw Cen MT" w:cs="Arial"/>
          <w:sz w:val="18"/>
          <w:szCs w:val="18"/>
          <w:lang w:val="en-US"/>
        </w:rPr>
        <w:t xml:space="preserve"> in pediatric population</w:t>
      </w:r>
      <w:r w:rsidR="001D770F">
        <w:rPr>
          <w:rFonts w:ascii="Tw Cen MT" w:hAnsi="Tw Cen MT" w:cs="Arial"/>
          <w:sz w:val="18"/>
          <w:szCs w:val="18"/>
          <w:lang w:val="en-US"/>
        </w:rPr>
        <w:t xml:space="preserve"> in general and</w:t>
      </w:r>
      <w:r>
        <w:rPr>
          <w:rFonts w:ascii="Tw Cen MT" w:hAnsi="Tw Cen MT" w:cs="Arial"/>
          <w:sz w:val="18"/>
          <w:szCs w:val="18"/>
          <w:lang w:val="en-US"/>
        </w:rPr>
        <w:t xml:space="preserve"> with COVID 19 that require admission in the PICU</w:t>
      </w:r>
    </w:p>
    <w:p w:rsidR="00601648" w:rsidRPr="001E068C" w:rsidRDefault="00455CF9" w:rsidP="00601648">
      <w:pPr>
        <w:jc w:val="both"/>
        <w:rPr>
          <w:rFonts w:ascii="Tw Cen MT" w:hAnsi="Tw Cen MT" w:cs="Arial"/>
          <w:bCs/>
          <w:sz w:val="18"/>
          <w:szCs w:val="18"/>
          <w:lang w:val="en-US"/>
        </w:rPr>
      </w:pPr>
      <w:r w:rsidRPr="00455CF9">
        <w:rPr>
          <w:rFonts w:ascii="Tw Cen MT" w:hAnsi="Tw Cen MT" w:cs="Arial"/>
          <w:b/>
          <w:sz w:val="18"/>
          <w:szCs w:val="18"/>
          <w:lang w:val="en-US"/>
        </w:rPr>
        <w:t>Material and Methodology</w:t>
      </w:r>
      <w:r w:rsidR="001D770F">
        <w:rPr>
          <w:rFonts w:ascii="Tw Cen MT" w:hAnsi="Tw Cen MT" w:cs="Arial"/>
          <w:b/>
          <w:sz w:val="18"/>
          <w:szCs w:val="18"/>
          <w:lang w:val="en-US"/>
        </w:rPr>
        <w:t xml:space="preserve">: </w:t>
      </w:r>
      <w:r w:rsidR="001D770F" w:rsidRPr="001E068C">
        <w:rPr>
          <w:rFonts w:ascii="Tw Cen MT" w:hAnsi="Tw Cen MT" w:cs="Arial"/>
          <w:bCs/>
          <w:sz w:val="18"/>
          <w:szCs w:val="18"/>
          <w:lang w:val="en-US"/>
        </w:rPr>
        <w:t>we conducted</w:t>
      </w:r>
      <w:r w:rsidR="001E068C">
        <w:rPr>
          <w:rFonts w:ascii="Tw Cen MT" w:hAnsi="Tw Cen MT" w:cs="Arial"/>
          <w:bCs/>
          <w:sz w:val="18"/>
          <w:szCs w:val="18"/>
          <w:lang w:val="en-US"/>
        </w:rPr>
        <w:t xml:space="preserve"> a</w:t>
      </w:r>
      <w:r w:rsidR="00C626A2">
        <w:rPr>
          <w:rFonts w:ascii="Tw Cen MT" w:hAnsi="Tw Cen MT" w:cs="Arial"/>
          <w:bCs/>
          <w:sz w:val="18"/>
          <w:szCs w:val="18"/>
          <w:lang w:val="en-US"/>
        </w:rPr>
        <w:t xml:space="preserve">n </w:t>
      </w:r>
      <w:r w:rsidR="001E068C">
        <w:rPr>
          <w:rFonts w:ascii="Tw Cen MT" w:hAnsi="Tw Cen MT" w:cs="Arial"/>
          <w:bCs/>
          <w:sz w:val="18"/>
          <w:szCs w:val="18"/>
          <w:lang w:val="en-US"/>
        </w:rPr>
        <w:t>analysis</w:t>
      </w:r>
      <w:r w:rsidR="00C626A2">
        <w:rPr>
          <w:rFonts w:ascii="Tw Cen MT" w:hAnsi="Tw Cen MT" w:cs="Arial"/>
          <w:bCs/>
          <w:sz w:val="18"/>
          <w:szCs w:val="18"/>
          <w:lang w:val="en-US"/>
        </w:rPr>
        <w:t xml:space="preserve"> an</w:t>
      </w:r>
      <w:r w:rsidR="00651FCB">
        <w:rPr>
          <w:rFonts w:ascii="Tw Cen MT" w:hAnsi="Tw Cen MT" w:cs="Arial"/>
          <w:bCs/>
          <w:sz w:val="18"/>
          <w:szCs w:val="18"/>
          <w:lang w:val="en-US"/>
        </w:rPr>
        <w:t>d</w:t>
      </w:r>
      <w:r w:rsidR="00C626A2">
        <w:rPr>
          <w:rFonts w:ascii="Tw Cen MT" w:hAnsi="Tw Cen MT" w:cs="Arial"/>
          <w:bCs/>
          <w:sz w:val="18"/>
          <w:szCs w:val="18"/>
          <w:lang w:val="en-US"/>
        </w:rPr>
        <w:t xml:space="preserve"> bibliographic</w:t>
      </w:r>
      <w:r w:rsidR="001E068C" w:rsidRPr="001E068C">
        <w:rPr>
          <w:rFonts w:ascii="Tw Cen MT" w:hAnsi="Tw Cen MT" w:cs="Arial"/>
          <w:bCs/>
          <w:sz w:val="18"/>
          <w:szCs w:val="18"/>
          <w:lang w:val="en-US"/>
        </w:rPr>
        <w:t xml:space="preserve"> research</w:t>
      </w:r>
      <w:r w:rsidR="001D770F" w:rsidRPr="001E068C">
        <w:rPr>
          <w:rFonts w:ascii="Tw Cen MT" w:hAnsi="Tw Cen MT" w:cs="Arial"/>
          <w:bCs/>
          <w:sz w:val="18"/>
          <w:szCs w:val="18"/>
          <w:lang w:val="en-US"/>
        </w:rPr>
        <w:t xml:space="preserve"> </w:t>
      </w:r>
      <w:r w:rsidR="001E068C" w:rsidRPr="001E068C">
        <w:rPr>
          <w:rFonts w:ascii="Tw Cen MT" w:hAnsi="Tw Cen MT" w:cs="Arial"/>
          <w:bCs/>
          <w:sz w:val="18"/>
          <w:szCs w:val="18"/>
          <w:lang w:val="en-US"/>
        </w:rPr>
        <w:t>using Pubmed and Cochrane database</w:t>
      </w:r>
      <w:r w:rsidR="001E068C">
        <w:rPr>
          <w:rFonts w:ascii="Tw Cen MT" w:hAnsi="Tw Cen MT" w:cs="Arial"/>
          <w:bCs/>
          <w:sz w:val="18"/>
          <w:szCs w:val="18"/>
          <w:lang w:val="en-US"/>
        </w:rPr>
        <w:t>.</w:t>
      </w:r>
      <w:r w:rsidR="001E068C" w:rsidRPr="001E068C">
        <w:rPr>
          <w:rFonts w:ascii="Arial" w:hAnsi="Arial" w:cs="Arial"/>
          <w:sz w:val="23"/>
          <w:szCs w:val="23"/>
          <w:lang w:val="en-US"/>
        </w:rPr>
        <w:t xml:space="preserve"> </w:t>
      </w:r>
      <w:r w:rsidR="001E068C" w:rsidRPr="001E068C">
        <w:rPr>
          <w:rFonts w:ascii="Tw Cen MT" w:hAnsi="Tw Cen MT" w:cs="Arial"/>
          <w:sz w:val="18"/>
          <w:szCs w:val="18"/>
          <w:lang w:val="en-US"/>
        </w:rPr>
        <w:t>Using a combination of MeSH terms and keywords (COVID-19; pediatric population; sedation; analgesia; delirium; withdrawal; critical care; drugs interactions).</w:t>
      </w:r>
    </w:p>
    <w:p w:rsidR="00455CF9" w:rsidRDefault="00455CF9" w:rsidP="00601648">
      <w:pPr>
        <w:jc w:val="both"/>
        <w:rPr>
          <w:rFonts w:ascii="Tw Cen MT" w:hAnsi="Tw Cen MT" w:cs="Arial"/>
          <w:sz w:val="18"/>
          <w:szCs w:val="18"/>
          <w:lang w:val="en-US"/>
        </w:rPr>
      </w:pPr>
      <w:r w:rsidRPr="00455CF9">
        <w:rPr>
          <w:rFonts w:ascii="Tw Cen MT" w:hAnsi="Tw Cen MT" w:cs="Arial"/>
          <w:b/>
          <w:sz w:val="18"/>
          <w:szCs w:val="18"/>
          <w:lang w:val="en-US"/>
        </w:rPr>
        <w:t>Conclusion</w:t>
      </w:r>
      <w:r>
        <w:rPr>
          <w:rFonts w:ascii="Tw Cen MT" w:hAnsi="Tw Cen MT" w:cs="Arial"/>
          <w:sz w:val="18"/>
          <w:szCs w:val="18"/>
          <w:lang w:val="en-US"/>
        </w:rPr>
        <w:t>: These recommendations may</w:t>
      </w:r>
      <w:r w:rsidR="00FA6B50">
        <w:rPr>
          <w:rFonts w:ascii="Tw Cen MT" w:hAnsi="Tw Cen MT" w:cs="Arial"/>
          <w:sz w:val="18"/>
          <w:szCs w:val="18"/>
          <w:lang w:val="en-US"/>
        </w:rPr>
        <w:t xml:space="preserve"> facilitate the adequate sedation and analgesia</w:t>
      </w:r>
      <w:r>
        <w:rPr>
          <w:rFonts w:ascii="Tw Cen MT" w:hAnsi="Tw Cen MT" w:cs="Arial"/>
          <w:sz w:val="18"/>
          <w:szCs w:val="18"/>
          <w:lang w:val="en-US"/>
        </w:rPr>
        <w:t xml:space="preserve"> in the PICU in pediatric patients </w:t>
      </w:r>
      <w:r w:rsidR="001D770F">
        <w:rPr>
          <w:rFonts w:ascii="Tw Cen MT" w:hAnsi="Tw Cen MT" w:cs="Arial"/>
          <w:sz w:val="18"/>
          <w:szCs w:val="18"/>
          <w:lang w:val="en-US"/>
        </w:rPr>
        <w:t xml:space="preserve">in general and </w:t>
      </w:r>
      <w:r>
        <w:rPr>
          <w:rFonts w:ascii="Tw Cen MT" w:hAnsi="Tw Cen MT" w:cs="Arial"/>
          <w:sz w:val="18"/>
          <w:szCs w:val="18"/>
          <w:lang w:val="en-US"/>
        </w:rPr>
        <w:t>with</w:t>
      </w:r>
      <w:r w:rsidR="00FA6B50">
        <w:rPr>
          <w:rFonts w:ascii="Tw Cen MT" w:hAnsi="Tw Cen MT" w:cs="Arial"/>
          <w:sz w:val="18"/>
          <w:szCs w:val="18"/>
          <w:lang w:val="en-US"/>
        </w:rPr>
        <w:t xml:space="preserve"> COVID 19.</w:t>
      </w:r>
    </w:p>
    <w:p w:rsidR="00E512C4" w:rsidRPr="00DD5420" w:rsidRDefault="00E512C4" w:rsidP="00E512C4">
      <w:pPr>
        <w:ind w:right="-471"/>
        <w:jc w:val="both"/>
        <w:rPr>
          <w:sz w:val="18"/>
          <w:szCs w:val="18"/>
          <w:lang w:val="en-US"/>
        </w:rPr>
      </w:pPr>
      <w:r w:rsidRPr="00DD5420">
        <w:rPr>
          <w:sz w:val="18"/>
          <w:szCs w:val="18"/>
          <w:lang w:val="en-US"/>
        </w:rPr>
        <w:t xml:space="preserve">             </w:t>
      </w:r>
    </w:p>
    <w:p w:rsidR="00E512C4" w:rsidRDefault="00651FCB" w:rsidP="0065713E">
      <w:pPr>
        <w:ind w:left="284" w:right="-471"/>
        <w:jc w:val="both"/>
        <w:rPr>
          <w:sz w:val="18"/>
          <w:szCs w:val="18"/>
          <w:lang w:val="en-US"/>
        </w:rPr>
      </w:pPr>
      <w:r w:rsidRPr="00651FCB">
        <w:rPr>
          <w:sz w:val="18"/>
          <w:szCs w:val="18"/>
          <w:lang w:val="en-US"/>
        </w:rPr>
        <w:drawing>
          <wp:inline distT="0" distB="0" distL="0" distR="0" wp14:anchorId="34DD3F4C" wp14:editId="5FDDF5D3">
            <wp:extent cx="2581275" cy="1936115"/>
            <wp:effectExtent l="0" t="0" r="9525"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81275" cy="1936115"/>
                    </a:xfrm>
                    <a:prstGeom prst="rect">
                      <a:avLst/>
                    </a:prstGeom>
                  </pic:spPr>
                </pic:pic>
              </a:graphicData>
            </a:graphic>
          </wp:inline>
        </w:drawing>
      </w:r>
    </w:p>
    <w:p w:rsidR="00BC4680" w:rsidRPr="00DD5420" w:rsidRDefault="00BC4680" w:rsidP="00BC4680">
      <w:pPr>
        <w:ind w:left="284"/>
        <w:rPr>
          <w:sz w:val="18"/>
          <w:szCs w:val="18"/>
          <w:lang w:val="en-US"/>
        </w:rPr>
      </w:pPr>
      <w:r w:rsidRPr="00DD5420">
        <w:rPr>
          <w:sz w:val="18"/>
          <w:szCs w:val="18"/>
          <w:lang w:val="en-US"/>
        </w:rPr>
        <w:t>Figure 1: management of an adequate sedation &amp; analgesia focus on the pediatric critical patient</w:t>
      </w:r>
      <w:r w:rsidR="001D770F">
        <w:rPr>
          <w:sz w:val="18"/>
          <w:szCs w:val="18"/>
          <w:lang w:val="en-US"/>
        </w:rPr>
        <w:t xml:space="preserve"> (courtesy Pharm M. Mezzenzani)</w:t>
      </w:r>
    </w:p>
    <w:p w:rsidR="00BC4680" w:rsidRPr="00DD5420" w:rsidRDefault="00BC4680" w:rsidP="00E512C4">
      <w:pPr>
        <w:ind w:right="-471"/>
        <w:jc w:val="both"/>
        <w:rPr>
          <w:sz w:val="18"/>
          <w:szCs w:val="18"/>
          <w:lang w:val="en-US"/>
        </w:rPr>
      </w:pPr>
    </w:p>
    <w:p w:rsidR="00601648" w:rsidRPr="001E068C" w:rsidRDefault="00601648" w:rsidP="001E068C">
      <w:pPr>
        <w:ind w:right="-471"/>
        <w:jc w:val="both"/>
        <w:rPr>
          <w:sz w:val="18"/>
          <w:szCs w:val="18"/>
          <w:lang w:val="en-US"/>
        </w:rPr>
      </w:pPr>
      <w:r w:rsidRPr="00DD5420">
        <w:rPr>
          <w:rFonts w:ascii="Arial" w:hAnsi="Arial" w:cs="Arial"/>
          <w:sz w:val="20"/>
          <w:szCs w:val="20"/>
          <w:lang w:val="en-US"/>
        </w:rPr>
        <w:t>Bibliography</w:t>
      </w:r>
      <w:r w:rsidRPr="00E512C4">
        <w:rPr>
          <w:rFonts w:cs="Arial"/>
          <w:lang w:val="en-US"/>
        </w:rPr>
        <w:t xml:space="preserve">: </w:t>
      </w:r>
    </w:p>
    <w:p w:rsidR="002C6649" w:rsidRPr="00DD5420" w:rsidRDefault="002C6649" w:rsidP="00BB0114">
      <w:pPr>
        <w:pStyle w:val="Prrafodelista"/>
        <w:numPr>
          <w:ilvl w:val="0"/>
          <w:numId w:val="1"/>
        </w:numPr>
        <w:jc w:val="both"/>
        <w:rPr>
          <w:rFonts w:cs="Arial"/>
          <w:sz w:val="18"/>
          <w:szCs w:val="18"/>
          <w:lang w:val="en-US"/>
        </w:rPr>
      </w:pPr>
      <w:r w:rsidRPr="00DD5420">
        <w:rPr>
          <w:rFonts w:cs="Arial"/>
          <w:sz w:val="18"/>
          <w:szCs w:val="18"/>
          <w:lang w:val="en-US"/>
        </w:rPr>
        <w:t xml:space="preserve">Zuppa AF, Curley MAQ. Sedation analgesia and neuro-muscular blockade in pediatric critical care. Overview and current landscape. Pediatr Clin North Am 2017; 64(5): 1103-1116. </w:t>
      </w:r>
      <w:hyperlink r:id="rId7" w:history="1">
        <w:r w:rsidRPr="00DD5420">
          <w:rPr>
            <w:rStyle w:val="Hipervnculo"/>
            <w:rFonts w:cs="Arial"/>
            <w:sz w:val="18"/>
            <w:szCs w:val="18"/>
            <w:lang w:val="en-US"/>
          </w:rPr>
          <w:t>https://doi.org/10.1016/j.pcl.2017.06.013</w:t>
        </w:r>
      </w:hyperlink>
    </w:p>
    <w:p w:rsidR="002C6649" w:rsidRPr="00DD5420" w:rsidRDefault="002C6649" w:rsidP="00BB0114">
      <w:pPr>
        <w:pStyle w:val="Prrafodelista"/>
        <w:numPr>
          <w:ilvl w:val="0"/>
          <w:numId w:val="1"/>
        </w:numPr>
        <w:jc w:val="both"/>
        <w:rPr>
          <w:rFonts w:cs="Arial"/>
          <w:sz w:val="18"/>
          <w:szCs w:val="18"/>
        </w:rPr>
      </w:pPr>
      <w:r w:rsidRPr="00DD5420">
        <w:rPr>
          <w:rFonts w:cs="Arial"/>
          <w:sz w:val="18"/>
          <w:szCs w:val="18"/>
          <w:lang w:val="en-US"/>
        </w:rPr>
        <w:t xml:space="preserve">Marra A, Ely W, Pandharipande PP, et al. The ABCDEF bundle in critical care. Crit Care Clin 2017; 33(2): 225-243. </w:t>
      </w:r>
      <w:hyperlink r:id="rId8" w:history="1">
        <w:r w:rsidRPr="00DD5420">
          <w:rPr>
            <w:rStyle w:val="Hipervnculo"/>
            <w:rFonts w:cs="Arial"/>
            <w:sz w:val="18"/>
            <w:szCs w:val="18"/>
          </w:rPr>
          <w:t>https://doi.org/10.1016/j.ccc.2016.12.005</w:t>
        </w:r>
      </w:hyperlink>
    </w:p>
    <w:p w:rsidR="002C6649" w:rsidRPr="00DD5420" w:rsidRDefault="002C6649" w:rsidP="00BB0114">
      <w:pPr>
        <w:pStyle w:val="Prrafodelista"/>
        <w:numPr>
          <w:ilvl w:val="0"/>
          <w:numId w:val="1"/>
        </w:numPr>
        <w:jc w:val="both"/>
        <w:rPr>
          <w:rFonts w:cs="Arial"/>
          <w:sz w:val="18"/>
          <w:szCs w:val="18"/>
          <w:lang w:val="en-US"/>
        </w:rPr>
      </w:pPr>
      <w:r w:rsidRPr="003B5A50">
        <w:rPr>
          <w:rFonts w:cs="Arial"/>
          <w:sz w:val="18"/>
          <w:szCs w:val="18"/>
          <w:lang w:val="en-US"/>
        </w:rPr>
        <w:t xml:space="preserve">Kongkiattikul L, Dagenais M, Ruo N, et al. </w:t>
      </w:r>
      <w:r w:rsidRPr="00DD5420">
        <w:rPr>
          <w:rFonts w:cs="Arial"/>
          <w:sz w:val="18"/>
          <w:szCs w:val="18"/>
          <w:lang w:val="en-US"/>
        </w:rPr>
        <w:t xml:space="preserve">The impact of a quality improvement project to standardize pain, agitation, and withdrawal assessments on the use of morphine and midazolam in the Pediatric Intensive Care Unit. </w:t>
      </w:r>
      <w:r w:rsidRPr="00E35532">
        <w:rPr>
          <w:rFonts w:cs="Arial"/>
          <w:sz w:val="18"/>
          <w:szCs w:val="18"/>
          <w:lang w:val="en-US"/>
        </w:rPr>
        <w:t xml:space="preserve">Pediatr Anesth. 2019; 29(4): 322-330. </w:t>
      </w:r>
      <w:hyperlink r:id="rId9" w:history="1">
        <w:r w:rsidRPr="00DD5420">
          <w:rPr>
            <w:rStyle w:val="Hipervnculo"/>
            <w:rFonts w:cs="Arial"/>
            <w:sz w:val="18"/>
            <w:szCs w:val="18"/>
            <w:lang w:val="en-US"/>
          </w:rPr>
          <w:t>https://doi.org/10.1111/pan.13591</w:t>
        </w:r>
      </w:hyperlink>
    </w:p>
    <w:p w:rsidR="002C6649" w:rsidRPr="00DD5420" w:rsidRDefault="002C6649" w:rsidP="00BB0114">
      <w:pPr>
        <w:pStyle w:val="Prrafodelista"/>
        <w:numPr>
          <w:ilvl w:val="0"/>
          <w:numId w:val="1"/>
        </w:numPr>
        <w:jc w:val="both"/>
        <w:rPr>
          <w:rFonts w:cs="Arial"/>
          <w:sz w:val="18"/>
          <w:szCs w:val="18"/>
          <w:lang w:val="en-US"/>
        </w:rPr>
      </w:pPr>
      <w:r w:rsidRPr="00DD5420">
        <w:rPr>
          <w:rFonts w:cs="Arial"/>
          <w:sz w:val="18"/>
          <w:szCs w:val="18"/>
          <w:lang w:val="en-US"/>
        </w:rPr>
        <w:lastRenderedPageBreak/>
        <w:t xml:space="preserve">Walker T, Kudchadkar SR. Pain and Sedation Management: 2018 Update for the Rogers’ Textbook of Pediatric Intensive Care. </w:t>
      </w:r>
      <w:r w:rsidRPr="00C626A2">
        <w:rPr>
          <w:rFonts w:cs="Arial"/>
          <w:sz w:val="18"/>
          <w:szCs w:val="18"/>
          <w:lang w:val="en-US"/>
        </w:rPr>
        <w:t xml:space="preserve">Pediatr Crit Care Med 2019; 20(1): 54-61. </w:t>
      </w:r>
      <w:hyperlink r:id="rId10" w:history="1">
        <w:r w:rsidRPr="00DD5420">
          <w:rPr>
            <w:rStyle w:val="Hipervnculo"/>
            <w:rFonts w:cs="Arial"/>
            <w:sz w:val="18"/>
            <w:szCs w:val="18"/>
            <w:lang w:val="en-US"/>
          </w:rPr>
          <w:t>https://doi.org/10.1097/PCC.0000000000001765</w:t>
        </w:r>
      </w:hyperlink>
    </w:p>
    <w:p w:rsidR="002C6649" w:rsidRPr="00C626A2" w:rsidRDefault="00BB0114" w:rsidP="00BB0114">
      <w:pPr>
        <w:pStyle w:val="Prrafodelista"/>
        <w:numPr>
          <w:ilvl w:val="0"/>
          <w:numId w:val="1"/>
        </w:numPr>
        <w:jc w:val="both"/>
        <w:rPr>
          <w:rFonts w:cs="Arial"/>
          <w:sz w:val="18"/>
          <w:szCs w:val="18"/>
          <w:lang w:val="en-US"/>
        </w:rPr>
      </w:pPr>
      <w:r w:rsidRPr="00DD5420">
        <w:rPr>
          <w:rFonts w:cs="Arial"/>
          <w:sz w:val="18"/>
          <w:szCs w:val="18"/>
          <w:lang w:val="en-US"/>
        </w:rPr>
        <w:t>P</w:t>
      </w:r>
      <w:r w:rsidR="006E325A" w:rsidRPr="00DD5420">
        <w:rPr>
          <w:rFonts w:cs="Arial"/>
          <w:sz w:val="18"/>
          <w:szCs w:val="18"/>
          <w:lang w:val="en-US"/>
        </w:rPr>
        <w:t xml:space="preserve">hua J, Weng L, Ling L, et al. Intensive care management of coronavirus disease 2019 (COVID-19): challenges and recommendations. </w:t>
      </w:r>
      <w:r w:rsidR="006E325A" w:rsidRPr="00C626A2">
        <w:rPr>
          <w:rFonts w:cs="Arial"/>
          <w:sz w:val="18"/>
          <w:szCs w:val="18"/>
          <w:lang w:val="en-US"/>
        </w:rPr>
        <w:t xml:space="preserve">Lancet Respir Med 2020: 8: 506-517. </w:t>
      </w:r>
      <w:hyperlink r:id="rId11" w:history="1">
        <w:r w:rsidRPr="00C626A2">
          <w:rPr>
            <w:rStyle w:val="Hipervnculo"/>
            <w:rFonts w:cs="Arial"/>
            <w:sz w:val="18"/>
            <w:szCs w:val="18"/>
            <w:lang w:val="en-US"/>
          </w:rPr>
          <w:t>https://doi.org/10.1016/S2213-2600(20)301612</w:t>
        </w:r>
      </w:hyperlink>
    </w:p>
    <w:p w:rsidR="00BB0114" w:rsidRPr="00DD5420" w:rsidRDefault="00BB0114" w:rsidP="00BB0114">
      <w:pPr>
        <w:pStyle w:val="Prrafodelista"/>
        <w:numPr>
          <w:ilvl w:val="0"/>
          <w:numId w:val="1"/>
        </w:numPr>
        <w:jc w:val="both"/>
        <w:rPr>
          <w:rFonts w:cs="Arial"/>
          <w:sz w:val="18"/>
          <w:szCs w:val="18"/>
          <w:lang w:val="en-US"/>
        </w:rPr>
      </w:pPr>
      <w:r w:rsidRPr="00DD5420">
        <w:rPr>
          <w:rFonts w:cs="Arial"/>
          <w:sz w:val="18"/>
          <w:szCs w:val="18"/>
        </w:rPr>
        <w:t xml:space="preserve">Franco JG, Ricardo C, Muñoz JF, et al. </w:t>
      </w:r>
      <w:r w:rsidRPr="00DD5420">
        <w:rPr>
          <w:rFonts w:cs="Arial"/>
          <w:sz w:val="18"/>
          <w:szCs w:val="18"/>
          <w:lang w:val="en-US"/>
        </w:rPr>
        <w:t xml:space="preserve">Diagnosing delirium in critically ill children: Spanish translational cultural adaptation of </w:t>
      </w:r>
      <w:r w:rsidRPr="00DD5420">
        <w:rPr>
          <w:rFonts w:cs="Arial"/>
          <w:sz w:val="18"/>
          <w:szCs w:val="18"/>
          <w:lang w:val="en-US"/>
        </w:rPr>
        <w:t xml:space="preserve">the Pediatric Confusion Assessment Method for the Intensive Care Unit. Crit Care Med 2012; 40(3): 1034. </w:t>
      </w:r>
      <w:hyperlink r:id="rId12" w:history="1">
        <w:r w:rsidRPr="00DD5420">
          <w:rPr>
            <w:rStyle w:val="Hipervnculo"/>
            <w:rFonts w:cs="Arial"/>
            <w:sz w:val="18"/>
            <w:szCs w:val="18"/>
            <w:lang w:val="en-US"/>
          </w:rPr>
          <w:t>https://doi.org/10.1097/CCM.0b013e31823c8b1c</w:t>
        </w:r>
      </w:hyperlink>
    </w:p>
    <w:p w:rsidR="002C6649" w:rsidRPr="00DD5420" w:rsidRDefault="00BB0114" w:rsidP="0088679A">
      <w:pPr>
        <w:pStyle w:val="Prrafodelista"/>
        <w:numPr>
          <w:ilvl w:val="0"/>
          <w:numId w:val="1"/>
        </w:numPr>
        <w:jc w:val="both"/>
        <w:rPr>
          <w:rFonts w:cs="Arial"/>
          <w:sz w:val="18"/>
          <w:szCs w:val="18"/>
          <w:lang w:val="en-US"/>
        </w:rPr>
      </w:pPr>
      <w:r w:rsidRPr="00DD5420">
        <w:rPr>
          <w:rFonts w:cs="Arial"/>
          <w:sz w:val="18"/>
          <w:szCs w:val="18"/>
          <w:lang w:val="en-US"/>
        </w:rPr>
        <w:t xml:space="preserve">Blair GJ, Mehmood T, Rudnick M, et al. Nonpharmacologic and medication minimization strategies for the prevention and treatment of ICU delirium: A narrative review. </w:t>
      </w:r>
      <w:r w:rsidRPr="00DE7843">
        <w:rPr>
          <w:rFonts w:cs="Arial"/>
          <w:sz w:val="18"/>
          <w:szCs w:val="18"/>
          <w:lang w:val="en-US"/>
        </w:rPr>
        <w:t>J Intensive Care Med 2019; 34(3): 183-190. https://doi.org/10.1177/0885066618771528</w:t>
      </w:r>
    </w:p>
    <w:p w:rsidR="002C6649" w:rsidRPr="00E512C4" w:rsidRDefault="002C6649" w:rsidP="00B64346">
      <w:pPr>
        <w:ind w:left="708" w:firstLine="708"/>
        <w:jc w:val="both"/>
        <w:rPr>
          <w:lang w:val="en-US"/>
        </w:rPr>
      </w:pPr>
    </w:p>
    <w:p w:rsidR="0088679A" w:rsidRDefault="0088679A" w:rsidP="0088679A">
      <w:pPr>
        <w:ind w:left="360" w:firstLine="708"/>
        <w:jc w:val="both"/>
        <w:rPr>
          <w:lang w:val="en-US"/>
        </w:rPr>
        <w:sectPr w:rsidR="0088679A" w:rsidSect="00E512C4">
          <w:type w:val="continuous"/>
          <w:pgSz w:w="12240" w:h="15840"/>
          <w:pgMar w:top="1417" w:right="1701" w:bottom="1417" w:left="1701" w:header="708" w:footer="708" w:gutter="0"/>
          <w:cols w:num="2" w:space="708"/>
          <w:docGrid w:linePitch="360"/>
        </w:sectPr>
      </w:pPr>
    </w:p>
    <w:p w:rsidR="00E512C4" w:rsidRDefault="00E512C4" w:rsidP="0088679A">
      <w:pPr>
        <w:ind w:left="360" w:firstLine="708"/>
        <w:jc w:val="both"/>
        <w:rPr>
          <w:lang w:val="en-US"/>
        </w:rPr>
      </w:pPr>
    </w:p>
    <w:p w:rsidR="00E512C4" w:rsidRDefault="00E512C4" w:rsidP="0088679A">
      <w:pPr>
        <w:ind w:left="360" w:firstLine="708"/>
        <w:jc w:val="both"/>
        <w:rPr>
          <w:lang w:val="en-US"/>
        </w:rPr>
      </w:pPr>
    </w:p>
    <w:p w:rsidR="00E512C4" w:rsidRDefault="00E512C4" w:rsidP="0088679A">
      <w:pPr>
        <w:ind w:left="360" w:firstLine="708"/>
        <w:jc w:val="both"/>
        <w:rPr>
          <w:lang w:val="en-US"/>
        </w:rPr>
      </w:pPr>
    </w:p>
    <w:p w:rsidR="00B64346" w:rsidRDefault="0088679A" w:rsidP="0088679A">
      <w:pPr>
        <w:ind w:left="360" w:firstLine="708"/>
        <w:jc w:val="both"/>
        <w:rPr>
          <w:lang w:val="en-US"/>
        </w:rPr>
      </w:pPr>
      <w:r>
        <w:rPr>
          <w:noProof/>
          <w:lang w:eastAsia="es-AR"/>
        </w:rPr>
        <w:drawing>
          <wp:inline distT="0" distB="0" distL="0" distR="0" wp14:anchorId="4E45203C" wp14:editId="4CF28AAB">
            <wp:extent cx="1019810" cy="1047750"/>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210216_131550089~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23077" cy="1051107"/>
                    </a:xfrm>
                    <a:prstGeom prst="rect">
                      <a:avLst/>
                    </a:prstGeom>
                  </pic:spPr>
                </pic:pic>
              </a:graphicData>
            </a:graphic>
          </wp:inline>
        </w:drawing>
      </w:r>
    </w:p>
    <w:p w:rsidR="00B64346" w:rsidRDefault="00B64346" w:rsidP="0088679A">
      <w:pPr>
        <w:tabs>
          <w:tab w:val="left" w:pos="709"/>
        </w:tabs>
        <w:ind w:left="360" w:firstLine="1"/>
        <w:jc w:val="both"/>
        <w:rPr>
          <w:noProof/>
          <w:lang w:val="en-US"/>
        </w:rPr>
      </w:pPr>
    </w:p>
    <w:p w:rsidR="003B27AC" w:rsidRDefault="003B27AC" w:rsidP="0088679A">
      <w:pPr>
        <w:ind w:left="219" w:firstLine="708"/>
        <w:jc w:val="both"/>
        <w:rPr>
          <w:rFonts w:ascii="Arial" w:hAnsi="Arial" w:cs="Arial"/>
          <w:sz w:val="16"/>
          <w:szCs w:val="16"/>
          <w:lang w:val="en-US"/>
        </w:rPr>
      </w:pPr>
    </w:p>
    <w:p w:rsidR="00E512C4" w:rsidRPr="00DD5420" w:rsidRDefault="00E512C4" w:rsidP="00E512C4">
      <w:pPr>
        <w:jc w:val="both"/>
        <w:rPr>
          <w:rFonts w:ascii="Arial" w:hAnsi="Arial" w:cs="Arial"/>
          <w:sz w:val="16"/>
          <w:szCs w:val="16"/>
          <w:lang w:val="en-US"/>
        </w:rPr>
      </w:pPr>
    </w:p>
    <w:p w:rsidR="00F7322F" w:rsidRPr="00DD5420" w:rsidRDefault="0065713E" w:rsidP="00E512C4">
      <w:pPr>
        <w:jc w:val="both"/>
        <w:rPr>
          <w:rFonts w:ascii="Arial" w:hAnsi="Arial" w:cs="Arial"/>
          <w:sz w:val="16"/>
          <w:szCs w:val="16"/>
          <w:lang w:val="en-US"/>
        </w:rPr>
      </w:pPr>
      <w:r w:rsidRPr="0065713E">
        <w:rPr>
          <w:rFonts w:ascii="Arial" w:hAnsi="Arial" w:cs="Arial"/>
          <w:sz w:val="16"/>
          <w:szCs w:val="16"/>
          <w:lang w:val="en-US"/>
        </w:rPr>
        <w:t>Biography: Dr. Ma. Eugenia Teran fulfilled her degree at the University of Buenos Aires (UBA)</w:t>
      </w:r>
      <w:r>
        <w:rPr>
          <w:rFonts w:ascii="Arial" w:hAnsi="Arial" w:cs="Arial"/>
          <w:sz w:val="16"/>
          <w:szCs w:val="16"/>
          <w:lang w:val="en-US"/>
        </w:rPr>
        <w:t>,</w:t>
      </w:r>
      <w:r w:rsidR="00DD5420">
        <w:rPr>
          <w:rFonts w:ascii="Arial" w:hAnsi="Arial" w:cs="Arial"/>
          <w:sz w:val="16"/>
          <w:szCs w:val="16"/>
          <w:lang w:val="en-US"/>
        </w:rPr>
        <w:t xml:space="preserve"> is a specialist in </w:t>
      </w:r>
      <w:r w:rsidR="00C34BCA" w:rsidRPr="00DD5420">
        <w:rPr>
          <w:rFonts w:ascii="Arial" w:hAnsi="Arial" w:cs="Arial"/>
          <w:sz w:val="16"/>
          <w:szCs w:val="16"/>
          <w:lang w:val="en-US"/>
        </w:rPr>
        <w:t>pediatric critical care</w:t>
      </w:r>
      <w:r w:rsidR="003B27AC">
        <w:rPr>
          <w:rFonts w:ascii="Arial" w:hAnsi="Arial" w:cs="Arial"/>
          <w:sz w:val="16"/>
          <w:szCs w:val="16"/>
          <w:lang w:val="en-US"/>
        </w:rPr>
        <w:t>. C</w:t>
      </w:r>
      <w:r w:rsidR="00C34BCA" w:rsidRPr="00DD5420">
        <w:rPr>
          <w:rFonts w:ascii="Arial" w:hAnsi="Arial" w:cs="Arial"/>
          <w:sz w:val="16"/>
          <w:szCs w:val="16"/>
          <w:lang w:val="en-US"/>
        </w:rPr>
        <w:t xml:space="preserve">urrently works in the PICU of </w:t>
      </w:r>
      <w:r w:rsidR="003B27AC">
        <w:rPr>
          <w:rFonts w:ascii="Arial" w:hAnsi="Arial" w:cs="Arial"/>
          <w:sz w:val="16"/>
          <w:szCs w:val="16"/>
          <w:lang w:val="en-US"/>
        </w:rPr>
        <w:t xml:space="preserve">Hospitall de Niños </w:t>
      </w:r>
      <w:r w:rsidR="00C34BCA" w:rsidRPr="00DD5420">
        <w:rPr>
          <w:rFonts w:ascii="Arial" w:hAnsi="Arial" w:cs="Arial"/>
          <w:sz w:val="16"/>
          <w:szCs w:val="16"/>
          <w:lang w:val="en-US"/>
        </w:rPr>
        <w:t xml:space="preserve">Ricardo Gutierrez in Buenos Aires, Argentina. </w:t>
      </w:r>
      <w:r w:rsidR="003B27AC">
        <w:rPr>
          <w:rFonts w:ascii="Arial" w:hAnsi="Arial" w:cs="Arial"/>
          <w:sz w:val="16"/>
          <w:szCs w:val="16"/>
          <w:lang w:val="en-US"/>
        </w:rPr>
        <w:t>Is a member of SATI</w:t>
      </w:r>
      <w:r w:rsidR="00C34BCA" w:rsidRPr="00DD5420">
        <w:rPr>
          <w:rFonts w:ascii="Arial" w:hAnsi="Arial" w:cs="Arial"/>
          <w:sz w:val="16"/>
          <w:szCs w:val="16"/>
          <w:lang w:val="en-US"/>
        </w:rPr>
        <w:t xml:space="preserve"> </w:t>
      </w:r>
      <w:r w:rsidR="003B27AC">
        <w:rPr>
          <w:rFonts w:ascii="Arial" w:hAnsi="Arial" w:cs="Arial"/>
          <w:sz w:val="16"/>
          <w:szCs w:val="16"/>
          <w:lang w:val="en-US"/>
        </w:rPr>
        <w:t>(</w:t>
      </w:r>
      <w:r w:rsidR="00C34BCA" w:rsidRPr="00DD5420">
        <w:rPr>
          <w:rFonts w:ascii="Arial" w:hAnsi="Arial" w:cs="Arial"/>
          <w:sz w:val="16"/>
          <w:szCs w:val="16"/>
          <w:lang w:val="en-US"/>
        </w:rPr>
        <w:t>Argentinian Critical Care Society</w:t>
      </w:r>
      <w:r w:rsidR="00E355C1" w:rsidRPr="00DD5420">
        <w:rPr>
          <w:rFonts w:ascii="Arial" w:hAnsi="Arial" w:cs="Arial"/>
          <w:sz w:val="16"/>
          <w:szCs w:val="16"/>
          <w:lang w:val="en-US"/>
        </w:rPr>
        <w:t>) and develops</w:t>
      </w:r>
      <w:r>
        <w:rPr>
          <w:rFonts w:ascii="Arial" w:hAnsi="Arial" w:cs="Arial"/>
          <w:sz w:val="16"/>
          <w:szCs w:val="16"/>
          <w:lang w:val="en-US"/>
        </w:rPr>
        <w:t xml:space="preserve"> her research</w:t>
      </w:r>
      <w:r w:rsidR="00E355C1" w:rsidRPr="00DD5420">
        <w:rPr>
          <w:rFonts w:ascii="Arial" w:hAnsi="Arial" w:cs="Arial"/>
          <w:sz w:val="16"/>
          <w:szCs w:val="16"/>
          <w:lang w:val="en-US"/>
        </w:rPr>
        <w:t xml:space="preserve"> as a member of the Analgesia Sedation and Delirium committee into SATI </w:t>
      </w:r>
      <w:r>
        <w:rPr>
          <w:rFonts w:ascii="Arial" w:hAnsi="Arial" w:cs="Arial"/>
          <w:sz w:val="16"/>
          <w:szCs w:val="16"/>
          <w:lang w:val="en-US"/>
        </w:rPr>
        <w:t>and</w:t>
      </w:r>
      <w:r w:rsidR="00E355C1" w:rsidRPr="00DD5420">
        <w:rPr>
          <w:rFonts w:ascii="Arial" w:hAnsi="Arial" w:cs="Arial"/>
          <w:sz w:val="16"/>
          <w:szCs w:val="16"/>
          <w:lang w:val="en-US"/>
        </w:rPr>
        <w:t xml:space="preserve"> in</w:t>
      </w:r>
      <w:r>
        <w:rPr>
          <w:rFonts w:ascii="Arial" w:hAnsi="Arial" w:cs="Arial"/>
          <w:sz w:val="16"/>
          <w:szCs w:val="16"/>
          <w:lang w:val="en-US"/>
        </w:rPr>
        <w:t xml:space="preserve"> </w:t>
      </w:r>
      <w:proofErr w:type="gramStart"/>
      <w:r w:rsidR="00A0669C">
        <w:rPr>
          <w:rFonts w:ascii="Arial" w:hAnsi="Arial" w:cs="Arial"/>
          <w:sz w:val="16"/>
          <w:szCs w:val="16"/>
          <w:lang w:val="en-US"/>
        </w:rPr>
        <w:t>SLACIP</w:t>
      </w:r>
      <w:r w:rsidR="00A0669C" w:rsidRPr="00DD5420">
        <w:rPr>
          <w:rFonts w:ascii="Arial" w:hAnsi="Arial" w:cs="Arial"/>
          <w:sz w:val="16"/>
          <w:szCs w:val="16"/>
          <w:lang w:val="en-US"/>
        </w:rPr>
        <w:t xml:space="preserve"> </w:t>
      </w:r>
      <w:r w:rsidR="00A0669C">
        <w:rPr>
          <w:rFonts w:ascii="Arial" w:hAnsi="Arial" w:cs="Arial"/>
          <w:sz w:val="16"/>
          <w:szCs w:val="16"/>
          <w:lang w:val="en-US"/>
        </w:rPr>
        <w:t>(</w:t>
      </w:r>
      <w:r w:rsidR="00A0669C" w:rsidRPr="00DD5420">
        <w:rPr>
          <w:rFonts w:ascii="Arial" w:hAnsi="Arial" w:cs="Arial"/>
          <w:sz w:val="16"/>
          <w:szCs w:val="16"/>
          <w:lang w:val="en-US"/>
        </w:rPr>
        <w:t>Latin-American Society of Pediatric Critical Care</w:t>
      </w:r>
      <w:r w:rsidR="00A0669C">
        <w:rPr>
          <w:rFonts w:ascii="Arial" w:hAnsi="Arial" w:cs="Arial"/>
          <w:sz w:val="16"/>
          <w:szCs w:val="16"/>
          <w:lang w:val="en-US"/>
        </w:rPr>
        <w:t>)</w:t>
      </w:r>
      <w:proofErr w:type="gramEnd"/>
      <w:r w:rsidR="00E355C1" w:rsidRPr="00DD5420">
        <w:rPr>
          <w:rFonts w:ascii="Arial" w:hAnsi="Arial" w:cs="Arial"/>
          <w:sz w:val="16"/>
          <w:szCs w:val="16"/>
          <w:lang w:val="en-US"/>
        </w:rPr>
        <w:t xml:space="preserve"> </w:t>
      </w:r>
    </w:p>
    <w:p w:rsidR="0088679A" w:rsidRDefault="0088679A" w:rsidP="00B52147">
      <w:pPr>
        <w:ind w:left="567" w:firstLine="708"/>
        <w:jc w:val="both"/>
        <w:rPr>
          <w:lang w:val="en-US"/>
        </w:rPr>
        <w:sectPr w:rsidR="0088679A" w:rsidSect="0088679A">
          <w:type w:val="continuous"/>
          <w:pgSz w:w="12240" w:h="15840"/>
          <w:pgMar w:top="1417" w:right="1701" w:bottom="1417" w:left="1701" w:header="708" w:footer="708" w:gutter="0"/>
          <w:cols w:num="2" w:space="708"/>
          <w:docGrid w:linePitch="360"/>
        </w:sectPr>
      </w:pPr>
    </w:p>
    <w:p w:rsidR="00E512C4" w:rsidRDefault="008F5E43" w:rsidP="00B52147">
      <w:pPr>
        <w:ind w:left="567" w:firstLine="708"/>
        <w:jc w:val="both"/>
        <w:rPr>
          <w:lang w:val="en-US"/>
        </w:rPr>
      </w:pPr>
      <w:r>
        <w:rPr>
          <w:lang w:val="en-US"/>
        </w:rPr>
        <w:t xml:space="preserve">                                          </w:t>
      </w:r>
    </w:p>
    <w:p w:rsidR="00E512C4" w:rsidRDefault="00E512C4" w:rsidP="00B52147">
      <w:pPr>
        <w:ind w:left="567" w:firstLine="708"/>
        <w:jc w:val="both"/>
        <w:rPr>
          <w:lang w:val="en-US"/>
        </w:rPr>
      </w:pPr>
    </w:p>
    <w:p w:rsidR="008F5E43" w:rsidRPr="00DD5420" w:rsidRDefault="00E512C4" w:rsidP="00B52147">
      <w:pPr>
        <w:ind w:left="567" w:firstLine="708"/>
        <w:jc w:val="both"/>
        <w:rPr>
          <w:rFonts w:ascii="Arial" w:hAnsi="Arial" w:cs="Arial"/>
          <w:sz w:val="16"/>
          <w:szCs w:val="16"/>
          <w:lang w:val="en-US"/>
        </w:rPr>
      </w:pPr>
      <w:r w:rsidRPr="00DD5420">
        <w:rPr>
          <w:rFonts w:ascii="Arial" w:hAnsi="Arial" w:cs="Arial"/>
          <w:sz w:val="16"/>
          <w:szCs w:val="16"/>
          <w:lang w:val="en-US"/>
        </w:rPr>
        <w:t xml:space="preserve">                                       </w:t>
      </w:r>
      <w:r w:rsidR="00DE7843">
        <w:rPr>
          <w:rFonts w:ascii="Arial" w:hAnsi="Arial" w:cs="Arial"/>
          <w:sz w:val="16"/>
          <w:szCs w:val="16"/>
          <w:lang w:val="en-US"/>
        </w:rPr>
        <w:t xml:space="preserve">    </w:t>
      </w:r>
      <w:r w:rsidR="008F5E43" w:rsidRPr="00DD5420">
        <w:rPr>
          <w:rFonts w:ascii="Arial" w:hAnsi="Arial" w:cs="Arial"/>
          <w:sz w:val="16"/>
          <w:szCs w:val="16"/>
          <w:lang w:val="en-US"/>
        </w:rPr>
        <w:t xml:space="preserve">  Email: eugeteran@gmail.com</w:t>
      </w:r>
    </w:p>
    <w:sectPr w:rsidR="008F5E43" w:rsidRPr="00DD5420" w:rsidSect="0088679A">
      <w:type w:val="continuous"/>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204050305030609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D590A"/>
    <w:multiLevelType w:val="hybridMultilevel"/>
    <w:tmpl w:val="3FF27E8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42C705C2"/>
    <w:multiLevelType w:val="hybridMultilevel"/>
    <w:tmpl w:val="1480F43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648"/>
    <w:rsid w:val="00147AA2"/>
    <w:rsid w:val="001D770F"/>
    <w:rsid w:val="001E068C"/>
    <w:rsid w:val="00201234"/>
    <w:rsid w:val="00255CF9"/>
    <w:rsid w:val="002B0753"/>
    <w:rsid w:val="002C6649"/>
    <w:rsid w:val="00331C6C"/>
    <w:rsid w:val="003B27AC"/>
    <w:rsid w:val="003B5A50"/>
    <w:rsid w:val="00455CF9"/>
    <w:rsid w:val="004A1327"/>
    <w:rsid w:val="00541FB1"/>
    <w:rsid w:val="00601648"/>
    <w:rsid w:val="00651FCB"/>
    <w:rsid w:val="0065713E"/>
    <w:rsid w:val="00663363"/>
    <w:rsid w:val="006E325A"/>
    <w:rsid w:val="0088679A"/>
    <w:rsid w:val="008F5E43"/>
    <w:rsid w:val="00A0669C"/>
    <w:rsid w:val="00A10680"/>
    <w:rsid w:val="00B52147"/>
    <w:rsid w:val="00B64346"/>
    <w:rsid w:val="00BB0114"/>
    <w:rsid w:val="00BC4680"/>
    <w:rsid w:val="00C34BCA"/>
    <w:rsid w:val="00C626A2"/>
    <w:rsid w:val="00DD5420"/>
    <w:rsid w:val="00DE7843"/>
    <w:rsid w:val="00E35532"/>
    <w:rsid w:val="00E355C1"/>
    <w:rsid w:val="00E512C4"/>
    <w:rsid w:val="00F7322F"/>
    <w:rsid w:val="00FA1976"/>
    <w:rsid w:val="00FA6B50"/>
    <w:rsid w:val="00FB3F4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8648C"/>
  <w15:docId w15:val="{DD95ADDB-5687-4001-ADE3-EDEC9AE5F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648"/>
    <w:pPr>
      <w:spacing w:after="160" w:line="256" w:lineRule="auto"/>
    </w:pPr>
    <w:rPr>
      <w:rFonts w:asciiTheme="minorHAnsi"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6649"/>
    <w:rPr>
      <w:color w:val="0000FF" w:themeColor="hyperlink"/>
      <w:u w:val="single"/>
    </w:rPr>
  </w:style>
  <w:style w:type="character" w:customStyle="1" w:styleId="Mencinsinresolver1">
    <w:name w:val="Mención sin resolver1"/>
    <w:basedOn w:val="Fuentedeprrafopredeter"/>
    <w:uiPriority w:val="99"/>
    <w:semiHidden/>
    <w:unhideWhenUsed/>
    <w:rsid w:val="002C6649"/>
    <w:rPr>
      <w:color w:val="605E5C"/>
      <w:shd w:val="clear" w:color="auto" w:fill="E1DFDD"/>
    </w:rPr>
  </w:style>
  <w:style w:type="paragraph" w:styleId="Prrafodelista">
    <w:name w:val="List Paragraph"/>
    <w:basedOn w:val="Normal"/>
    <w:uiPriority w:val="34"/>
    <w:qFormat/>
    <w:rsid w:val="00BB01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413915">
      <w:bodyDiv w:val="1"/>
      <w:marLeft w:val="0"/>
      <w:marRight w:val="0"/>
      <w:marTop w:val="0"/>
      <w:marBottom w:val="0"/>
      <w:divBdr>
        <w:top w:val="none" w:sz="0" w:space="0" w:color="auto"/>
        <w:left w:val="none" w:sz="0" w:space="0" w:color="auto"/>
        <w:bottom w:val="none" w:sz="0" w:space="0" w:color="auto"/>
        <w:right w:val="none" w:sz="0" w:space="0" w:color="auto"/>
      </w:divBdr>
    </w:div>
    <w:div w:id="212160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cc.2016.12.005"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doi.org/10.1016/j.pcl.2017.06.013" TargetMode="External"/><Relationship Id="rId12" Type="http://schemas.openxmlformats.org/officeDocument/2006/relationships/hyperlink" Target="https://doi.org/10.1097/CCM.0b013e31823c8b1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16/S2213-2600(20)30161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97/PCC.0000000000001765" TargetMode="External"/><Relationship Id="rId4" Type="http://schemas.openxmlformats.org/officeDocument/2006/relationships/settings" Target="settings.xml"/><Relationship Id="rId9" Type="http://schemas.openxmlformats.org/officeDocument/2006/relationships/hyperlink" Target="https://doi.org/10.1111/pan.1359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Orden de nombre" Version="2003"/>
</file>

<file path=customXml/itemProps1.xml><?xml version="1.0" encoding="utf-8"?>
<ds:datastoreItem xmlns:ds="http://schemas.openxmlformats.org/officeDocument/2006/customXml" ds:itemID="{7383086A-4DCA-487C-BB11-577FA8919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714</Words>
  <Characters>3928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 t</dc:creator>
  <cp:lastModifiedBy>eugenia</cp:lastModifiedBy>
  <cp:revision>11</cp:revision>
  <dcterms:created xsi:type="dcterms:W3CDTF">2021-02-19T18:25:00Z</dcterms:created>
  <dcterms:modified xsi:type="dcterms:W3CDTF">2021-02-20T01:29:00Z</dcterms:modified>
</cp:coreProperties>
</file>