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2CF" w:rsidRPr="00751D68" w:rsidRDefault="006B62CF" w:rsidP="006B62CF">
      <w:pPr>
        <w:spacing w:after="0"/>
        <w:rPr>
          <w:rFonts w:ascii="Times New Roman" w:eastAsia="나눔고딕" w:hAnsi="Times New Roman" w:cs="Times New Roman"/>
          <w:bCs/>
          <w:sz w:val="22"/>
        </w:rPr>
      </w:pPr>
      <w:r w:rsidRPr="00751D68">
        <w:rPr>
          <w:rFonts w:ascii="Times New Roman" w:eastAsia="나눔고딕" w:hAnsi="Times New Roman" w:cs="Times New Roman"/>
          <w:sz w:val="22"/>
        </w:rPr>
        <w:t>The objective of this study was to examine the effect of the COVID-19 outbreak on excess in-hospital mortality among patients who visited emergency departments (EDs) and to assess whether the excess mortality during the COVID-19 pandemic varies by community income level.</w:t>
      </w:r>
    </w:p>
    <w:p w:rsidR="006B62CF" w:rsidRPr="00751D68" w:rsidRDefault="006B62CF" w:rsidP="006B62CF">
      <w:pPr>
        <w:spacing w:after="0"/>
        <w:rPr>
          <w:rFonts w:ascii="Times New Roman" w:eastAsia="나눔고딕" w:hAnsi="Times New Roman" w:cs="Times New Roman"/>
          <w:sz w:val="22"/>
        </w:rPr>
      </w:pPr>
      <w:r w:rsidRPr="00751D68">
        <w:rPr>
          <w:rFonts w:ascii="Times New Roman" w:eastAsia="나눔고딕" w:hAnsi="Times New Roman" w:cs="Times New Roman"/>
          <w:sz w:val="22"/>
        </w:rPr>
        <w:t>This is a cross-sectional study using the National Emergency Department Information System (NEDIS) database in Korea.</w:t>
      </w:r>
      <w:r w:rsidRPr="00751D68">
        <w:rPr>
          <w:rFonts w:ascii="Times New Roman" w:eastAsia="Times New Roman Uni" w:hAnsi="Times New Roman" w:cs="Times New Roman"/>
          <w:sz w:val="22"/>
        </w:rPr>
        <w:t xml:space="preserve"> The study population was defined as patients who visited all 402 EDs with medical conditions other than injuries between </w:t>
      </w:r>
      <w:r w:rsidRPr="00751D68">
        <w:rPr>
          <w:rFonts w:ascii="Times New Roman" w:eastAsia="나눔고딕" w:hAnsi="Times New Roman" w:cs="Times New Roman"/>
          <w:sz w:val="22"/>
        </w:rPr>
        <w:t>Jan 27 and May 31, 2020 (after-COVID) and for the corresponding time period in 2019 (before-COVID)</w:t>
      </w:r>
      <w:r w:rsidRPr="00751D68">
        <w:rPr>
          <w:rFonts w:ascii="Times New Roman" w:eastAsia="Times New Roman Uni" w:hAnsi="Times New Roman" w:cs="Times New Roman"/>
          <w:sz w:val="22"/>
        </w:rPr>
        <w:t xml:space="preserve">. </w:t>
      </w:r>
      <w:r w:rsidRPr="00751D68">
        <w:rPr>
          <w:rFonts w:ascii="Times New Roman" w:eastAsia="나눔고딕" w:hAnsi="Times New Roman" w:cs="Times New Roman"/>
          <w:sz w:val="22"/>
        </w:rPr>
        <w:t>The primary outcome was in-hospital mortality. The main exposure was the COVID-19 outbreak, and the interaction variable was county per capita income tax. We calculated the risk-adjusted in-hospital mortality rates by COVID-19 outbreak, as well as the difference-in-difference of risk-adjusted rates between the bef0re-COVID and after-COVID groups according to the county income tax using a multilevel linear regression model with the interaction term.</w:t>
      </w:r>
    </w:p>
    <w:p w:rsidR="006B62CF" w:rsidRPr="00751D68" w:rsidRDefault="006B62CF" w:rsidP="006B62CF">
      <w:pPr>
        <w:spacing w:after="0"/>
        <w:rPr>
          <w:rFonts w:ascii="Times New Roman" w:eastAsia="나눔고딕" w:hAnsi="Times New Roman" w:cs="Times New Roman"/>
          <w:sz w:val="22"/>
        </w:rPr>
      </w:pPr>
      <w:r w:rsidRPr="00751D68">
        <w:rPr>
          <w:rFonts w:ascii="Times New Roman" w:eastAsia="나눔고딕" w:hAnsi="Times New Roman" w:cs="Times New Roman"/>
          <w:sz w:val="22"/>
        </w:rPr>
        <w:t>A total of 11,662,167 patients (6,765,717 in before-COVID and 4,896,450 in after-COVID) were included in the study with a 1.6% crude in-hospital mortality rate. The risk-adjusted mortality rate in the after-COVID group was higher than that in the before-COVID group (1.82% vs. 1.50%, difference: 0.31% (0.30 t0 0.33); adjusted OR, 1.22 (1.18-1.25)). The excess in-hospital mortality rate of the after-COVID in the lowest quartile group of county income tax was significantly higher than that in the highest quartile group (difference-in-difference: 0.18% (0.14 to 0.23), p-for-interaction &lt;0.01).</w:t>
      </w:r>
    </w:p>
    <w:p w:rsidR="00203C3B" w:rsidRDefault="006B62CF" w:rsidP="006B62CF">
      <w:r w:rsidRPr="00751D68">
        <w:rPr>
          <w:rFonts w:ascii="Times New Roman" w:eastAsia="나눔고딕" w:hAnsi="Times New Roman" w:cs="Times New Roman"/>
          <w:sz w:val="22"/>
        </w:rPr>
        <w:t>During the COVID-19 pandemic, there was excess in-hospital mortality among patients who visited EDs, and there were disparities in excess mortality depending on community socioeconomic positions</w:t>
      </w:r>
      <w:bookmarkStart w:id="0" w:name="_GoBack"/>
      <w:bookmarkEnd w:id="0"/>
    </w:p>
    <w:sectPr w:rsidR="00203C3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나눔고딕">
    <w:altName w:val="맑은 고딕"/>
    <w:charset w:val="81"/>
    <w:family w:val="modern"/>
    <w:pitch w:val="variable"/>
    <w:sig w:usb0="900002A7" w:usb1="29D7FCFB" w:usb2="00000010" w:usb3="00000000" w:csb0="00080001" w:csb1="00000000"/>
  </w:font>
  <w:font w:name="Times New Roman Uni">
    <w:altName w:val="바탕"/>
    <w:panose1 w:val="02020603050405020304"/>
    <w:charset w:val="81"/>
    <w:family w:val="roman"/>
    <w:pitch w:val="variable"/>
    <w:sig w:usb0="B334AAFF" w:usb1="F9DFFFFF" w:usb2="0000003E" w:usb3="00000000" w:csb0="001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2CF"/>
    <w:rsid w:val="00203C3B"/>
    <w:rsid w:val="006B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0BF558-5A14-4AD3-A911-8E09A452F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2CF"/>
    <w:pPr>
      <w:spacing w:line="480" w:lineRule="auto"/>
    </w:pPr>
    <w:rPr>
      <w:rFonts w:ascii="Georgia" w:hAnsi="Georg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2022-09-04T14:17:00Z</dcterms:created>
  <dcterms:modified xsi:type="dcterms:W3CDTF">2022-09-04T14:17:00Z</dcterms:modified>
</cp:coreProperties>
</file>