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EAF7EF" w14:textId="31BF1ED6" w:rsidR="00B53A43" w:rsidRPr="00CD564B" w:rsidRDefault="00EE6050" w:rsidP="004D6819">
      <w:pPr>
        <w:spacing w:line="360" w:lineRule="auto"/>
        <w:jc w:val="center"/>
        <w:rPr>
          <w:rFonts w:ascii="Times New Roman" w:hAnsi="Times New Roman" w:cs="Times New Roman"/>
          <w:b/>
          <w:sz w:val="24"/>
          <w:szCs w:val="24"/>
        </w:rPr>
      </w:pPr>
      <w:r w:rsidRPr="00CD564B">
        <w:rPr>
          <w:rFonts w:ascii="Times New Roman" w:hAnsi="Times New Roman" w:cs="Times New Roman"/>
          <w:b/>
          <w:sz w:val="24"/>
          <w:szCs w:val="24"/>
        </w:rPr>
        <w:t xml:space="preserve">A STUDY ON CLINICAL OUTCOMES </w:t>
      </w:r>
      <w:r w:rsidR="001153C6">
        <w:rPr>
          <w:rFonts w:ascii="Times New Roman" w:hAnsi="Times New Roman" w:cs="Times New Roman"/>
          <w:b/>
          <w:sz w:val="24"/>
          <w:szCs w:val="24"/>
        </w:rPr>
        <w:t>O</w:t>
      </w:r>
      <w:r w:rsidRPr="00CD564B">
        <w:rPr>
          <w:rFonts w:ascii="Times New Roman" w:hAnsi="Times New Roman" w:cs="Times New Roman"/>
          <w:b/>
          <w:sz w:val="24"/>
          <w:szCs w:val="24"/>
        </w:rPr>
        <w:t>F SEPTIC SHOCK PATIENTS RECEIVING VITAMIN C</w:t>
      </w:r>
    </w:p>
    <w:p w14:paraId="727CE7B9" w14:textId="510AC47D" w:rsidR="00B53A43" w:rsidRPr="00A46176" w:rsidRDefault="00CD564B" w:rsidP="004D6819">
      <w:pPr>
        <w:spacing w:line="360" w:lineRule="auto"/>
        <w:rPr>
          <w:rFonts w:ascii="Times New Roman" w:hAnsi="Times New Roman" w:cs="Times New Roman"/>
          <w:b/>
          <w:sz w:val="24"/>
          <w:szCs w:val="24"/>
          <w:vertAlign w:val="superscript"/>
        </w:rPr>
      </w:pPr>
      <w:r w:rsidRPr="00CD564B">
        <w:rPr>
          <w:rFonts w:ascii="Times New Roman" w:hAnsi="Times New Roman" w:cs="Times New Roman"/>
          <w:b/>
          <w:sz w:val="24"/>
          <w:szCs w:val="24"/>
        </w:rPr>
        <w:t xml:space="preserve">Mohammed </w:t>
      </w:r>
      <w:r>
        <w:rPr>
          <w:rFonts w:ascii="Times New Roman" w:hAnsi="Times New Roman" w:cs="Times New Roman"/>
          <w:b/>
          <w:sz w:val="24"/>
          <w:szCs w:val="24"/>
        </w:rPr>
        <w:t>F</w:t>
      </w:r>
      <w:r w:rsidRPr="00CD564B">
        <w:rPr>
          <w:rFonts w:ascii="Times New Roman" w:hAnsi="Times New Roman" w:cs="Times New Roman"/>
          <w:b/>
          <w:sz w:val="24"/>
          <w:szCs w:val="24"/>
        </w:rPr>
        <w:t>areedullah</w:t>
      </w:r>
      <w:r w:rsidR="00A46176">
        <w:rPr>
          <w:rFonts w:ascii="Times New Roman" w:hAnsi="Times New Roman" w:cs="Times New Roman"/>
          <w:b/>
          <w:sz w:val="24"/>
          <w:szCs w:val="24"/>
          <w:vertAlign w:val="superscript"/>
        </w:rPr>
        <w:t>1</w:t>
      </w:r>
      <w:r>
        <w:rPr>
          <w:rFonts w:ascii="Times New Roman" w:hAnsi="Times New Roman" w:cs="Times New Roman"/>
          <w:b/>
          <w:sz w:val="24"/>
          <w:szCs w:val="24"/>
        </w:rPr>
        <w:t>, Shanmuka Nagaraju Panga</w:t>
      </w:r>
      <w:r w:rsidR="00A46176">
        <w:rPr>
          <w:rFonts w:ascii="Times New Roman" w:hAnsi="Times New Roman" w:cs="Times New Roman"/>
          <w:b/>
          <w:sz w:val="24"/>
          <w:szCs w:val="24"/>
          <w:vertAlign w:val="superscript"/>
        </w:rPr>
        <w:t>2</w:t>
      </w:r>
      <w:r>
        <w:rPr>
          <w:rFonts w:ascii="Times New Roman" w:hAnsi="Times New Roman" w:cs="Times New Roman"/>
          <w:b/>
          <w:sz w:val="24"/>
          <w:szCs w:val="24"/>
        </w:rPr>
        <w:t>, Mohammed Haseeb Ahmed</w:t>
      </w:r>
      <w:r w:rsidR="00A46176">
        <w:rPr>
          <w:rFonts w:ascii="Times New Roman" w:hAnsi="Times New Roman" w:cs="Times New Roman"/>
          <w:b/>
          <w:sz w:val="24"/>
          <w:szCs w:val="24"/>
          <w:vertAlign w:val="superscript"/>
        </w:rPr>
        <w:t>2</w:t>
      </w:r>
      <w:r>
        <w:rPr>
          <w:rFonts w:ascii="Times New Roman" w:hAnsi="Times New Roman" w:cs="Times New Roman"/>
          <w:b/>
          <w:sz w:val="24"/>
          <w:szCs w:val="24"/>
        </w:rPr>
        <w:t xml:space="preserve">, </w:t>
      </w:r>
      <w:r w:rsidR="00B53A43" w:rsidRPr="00CD564B">
        <w:rPr>
          <w:rFonts w:ascii="Times New Roman" w:hAnsi="Times New Roman" w:cs="Times New Roman"/>
          <w:b/>
          <w:sz w:val="24"/>
          <w:szCs w:val="24"/>
        </w:rPr>
        <w:t>A</w:t>
      </w:r>
      <w:r>
        <w:rPr>
          <w:rFonts w:ascii="Times New Roman" w:hAnsi="Times New Roman" w:cs="Times New Roman"/>
          <w:b/>
          <w:sz w:val="24"/>
          <w:szCs w:val="24"/>
        </w:rPr>
        <w:t xml:space="preserve">faaf </w:t>
      </w:r>
      <w:r w:rsidR="00B53A43" w:rsidRPr="00CD564B">
        <w:rPr>
          <w:rFonts w:ascii="Times New Roman" w:hAnsi="Times New Roman" w:cs="Times New Roman"/>
          <w:b/>
          <w:sz w:val="24"/>
          <w:szCs w:val="24"/>
        </w:rPr>
        <w:t>A</w:t>
      </w:r>
      <w:r>
        <w:rPr>
          <w:rFonts w:ascii="Times New Roman" w:hAnsi="Times New Roman" w:cs="Times New Roman"/>
          <w:b/>
          <w:sz w:val="24"/>
          <w:szCs w:val="24"/>
        </w:rPr>
        <w:t>rif</w:t>
      </w:r>
      <w:r w:rsidR="00A46176">
        <w:rPr>
          <w:rFonts w:ascii="Times New Roman" w:hAnsi="Times New Roman" w:cs="Times New Roman"/>
          <w:b/>
          <w:sz w:val="24"/>
          <w:szCs w:val="24"/>
          <w:vertAlign w:val="superscript"/>
        </w:rPr>
        <w:t>3</w:t>
      </w:r>
      <w:r>
        <w:rPr>
          <w:rFonts w:ascii="Times New Roman" w:hAnsi="Times New Roman" w:cs="Times New Roman"/>
          <w:b/>
          <w:sz w:val="24"/>
          <w:szCs w:val="24"/>
        </w:rPr>
        <w:t xml:space="preserve">, </w:t>
      </w:r>
      <w:r w:rsidR="00B53A43" w:rsidRPr="00CD564B">
        <w:rPr>
          <w:rFonts w:ascii="Times New Roman" w:hAnsi="Times New Roman" w:cs="Times New Roman"/>
          <w:b/>
          <w:sz w:val="24"/>
          <w:szCs w:val="24"/>
        </w:rPr>
        <w:t>M</w:t>
      </w:r>
      <w:r>
        <w:rPr>
          <w:rFonts w:ascii="Times New Roman" w:hAnsi="Times New Roman" w:cs="Times New Roman"/>
          <w:b/>
          <w:sz w:val="24"/>
          <w:szCs w:val="24"/>
        </w:rPr>
        <w:t xml:space="preserve">ohammed Munaf </w:t>
      </w:r>
      <w:r w:rsidR="00A46176">
        <w:rPr>
          <w:rFonts w:ascii="Times New Roman" w:hAnsi="Times New Roman" w:cs="Times New Roman"/>
          <w:b/>
          <w:sz w:val="24"/>
          <w:szCs w:val="24"/>
        </w:rPr>
        <w:t>U</w:t>
      </w:r>
      <w:r>
        <w:rPr>
          <w:rFonts w:ascii="Times New Roman" w:hAnsi="Times New Roman" w:cs="Times New Roman"/>
          <w:b/>
          <w:sz w:val="24"/>
          <w:szCs w:val="24"/>
        </w:rPr>
        <w:t>r Razzak</w:t>
      </w:r>
      <w:r w:rsidR="00A46176">
        <w:rPr>
          <w:rFonts w:ascii="Times New Roman" w:hAnsi="Times New Roman" w:cs="Times New Roman"/>
          <w:b/>
          <w:sz w:val="24"/>
          <w:szCs w:val="24"/>
          <w:vertAlign w:val="superscript"/>
        </w:rPr>
        <w:t>3</w:t>
      </w:r>
      <w:r>
        <w:rPr>
          <w:rFonts w:ascii="Times New Roman" w:hAnsi="Times New Roman" w:cs="Times New Roman"/>
          <w:b/>
          <w:sz w:val="24"/>
          <w:szCs w:val="24"/>
        </w:rPr>
        <w:t>, Mohammed Misbah Ul Haq</w:t>
      </w:r>
      <w:r w:rsidR="00A46176">
        <w:rPr>
          <w:rFonts w:ascii="Times New Roman" w:hAnsi="Times New Roman" w:cs="Times New Roman"/>
          <w:b/>
          <w:sz w:val="24"/>
          <w:szCs w:val="24"/>
          <w:vertAlign w:val="superscript"/>
        </w:rPr>
        <w:t>3</w:t>
      </w:r>
      <w:r>
        <w:rPr>
          <w:rFonts w:ascii="Times New Roman" w:hAnsi="Times New Roman" w:cs="Times New Roman"/>
          <w:b/>
          <w:sz w:val="24"/>
          <w:szCs w:val="24"/>
        </w:rPr>
        <w:t>, Juveria</w:t>
      </w:r>
      <w:r w:rsidR="00A46176">
        <w:rPr>
          <w:rFonts w:ascii="Times New Roman" w:hAnsi="Times New Roman" w:cs="Times New Roman"/>
          <w:b/>
          <w:sz w:val="24"/>
          <w:szCs w:val="24"/>
          <w:vertAlign w:val="superscript"/>
        </w:rPr>
        <w:t>3</w:t>
      </w:r>
    </w:p>
    <w:p w14:paraId="56652635" w14:textId="77777777" w:rsidR="00CD564B" w:rsidRDefault="00CD564B" w:rsidP="004D6819">
      <w:pPr>
        <w:spacing w:line="360" w:lineRule="auto"/>
        <w:rPr>
          <w:rFonts w:ascii="Times New Roman" w:hAnsi="Times New Roman" w:cs="Times New Roman"/>
          <w:b/>
          <w:sz w:val="24"/>
          <w:szCs w:val="24"/>
        </w:rPr>
      </w:pPr>
    </w:p>
    <w:p w14:paraId="0FC2A69D" w14:textId="05312E78" w:rsidR="00CD564B" w:rsidRPr="00CD564B" w:rsidRDefault="00CD564B" w:rsidP="004D6819">
      <w:pPr>
        <w:pStyle w:val="ListParagraph"/>
        <w:numPr>
          <w:ilvl w:val="0"/>
          <w:numId w:val="7"/>
        </w:numPr>
        <w:spacing w:line="360" w:lineRule="auto"/>
        <w:ind w:left="0"/>
        <w:rPr>
          <w:rFonts w:ascii="Times New Roman" w:hAnsi="Times New Roman" w:cs="Times New Roman"/>
          <w:bCs/>
          <w:sz w:val="24"/>
          <w:szCs w:val="24"/>
        </w:rPr>
      </w:pPr>
      <w:r w:rsidRPr="00CD564B">
        <w:rPr>
          <w:rFonts w:ascii="Times New Roman" w:hAnsi="Times New Roman" w:cs="Times New Roman"/>
          <w:bCs/>
          <w:sz w:val="24"/>
          <w:szCs w:val="24"/>
        </w:rPr>
        <w:t>Associate Professor and Head, Department of Pharmacy Practice, Deccan School of Pharmacy</w:t>
      </w:r>
    </w:p>
    <w:p w14:paraId="77462DB4" w14:textId="14493AA5" w:rsidR="00CD564B" w:rsidRPr="00CD564B" w:rsidRDefault="00CD564B" w:rsidP="004D6819">
      <w:pPr>
        <w:pStyle w:val="ListParagraph"/>
        <w:numPr>
          <w:ilvl w:val="0"/>
          <w:numId w:val="7"/>
        </w:numPr>
        <w:spacing w:line="360" w:lineRule="auto"/>
        <w:ind w:left="0"/>
        <w:rPr>
          <w:rFonts w:ascii="Times New Roman" w:hAnsi="Times New Roman" w:cs="Times New Roman"/>
          <w:bCs/>
          <w:sz w:val="24"/>
          <w:szCs w:val="24"/>
        </w:rPr>
      </w:pPr>
      <w:r w:rsidRPr="00CD564B">
        <w:rPr>
          <w:rFonts w:ascii="Times New Roman" w:hAnsi="Times New Roman" w:cs="Times New Roman"/>
          <w:bCs/>
          <w:sz w:val="24"/>
          <w:szCs w:val="24"/>
        </w:rPr>
        <w:t xml:space="preserve">Department of </w:t>
      </w:r>
      <w:r>
        <w:rPr>
          <w:rFonts w:ascii="Times New Roman" w:hAnsi="Times New Roman" w:cs="Times New Roman"/>
          <w:bCs/>
          <w:sz w:val="24"/>
          <w:szCs w:val="24"/>
        </w:rPr>
        <w:t>Critical Care Medicine</w:t>
      </w:r>
      <w:r w:rsidRPr="00CD564B">
        <w:rPr>
          <w:rFonts w:ascii="Times New Roman" w:hAnsi="Times New Roman" w:cs="Times New Roman"/>
          <w:bCs/>
          <w:sz w:val="24"/>
          <w:szCs w:val="24"/>
        </w:rPr>
        <w:t xml:space="preserve">, </w:t>
      </w:r>
      <w:r w:rsidR="00A46176" w:rsidRPr="00A46176">
        <w:rPr>
          <w:rFonts w:ascii="Times New Roman" w:hAnsi="Times New Roman" w:cs="Times New Roman"/>
          <w:bCs/>
          <w:sz w:val="24"/>
          <w:szCs w:val="24"/>
        </w:rPr>
        <w:t>Owaisi Hospital and Research Centre.</w:t>
      </w:r>
    </w:p>
    <w:p w14:paraId="734B85C9" w14:textId="2520BFE3" w:rsidR="00CD564B" w:rsidRPr="00CD564B" w:rsidRDefault="00CD564B" w:rsidP="004D6819">
      <w:pPr>
        <w:pStyle w:val="ListParagraph"/>
        <w:numPr>
          <w:ilvl w:val="0"/>
          <w:numId w:val="7"/>
        </w:numPr>
        <w:spacing w:line="360" w:lineRule="auto"/>
        <w:ind w:left="0"/>
        <w:rPr>
          <w:rFonts w:ascii="Times New Roman" w:hAnsi="Times New Roman" w:cs="Times New Roman"/>
          <w:bCs/>
          <w:sz w:val="24"/>
          <w:szCs w:val="24"/>
        </w:rPr>
      </w:pPr>
      <w:r w:rsidRPr="00CD564B">
        <w:rPr>
          <w:rFonts w:ascii="Times New Roman" w:hAnsi="Times New Roman" w:cs="Times New Roman"/>
          <w:bCs/>
          <w:sz w:val="24"/>
          <w:szCs w:val="24"/>
        </w:rPr>
        <w:t>Department of Pharmacy Practice, Deccan School of Pharmacy</w:t>
      </w:r>
    </w:p>
    <w:p w14:paraId="21E6F0F9" w14:textId="77777777" w:rsidR="00470C46" w:rsidRDefault="00470C46" w:rsidP="004D6819">
      <w:pPr>
        <w:rPr>
          <w:rFonts w:ascii="Times New Roman" w:hAnsi="Times New Roman" w:cs="Times New Roman"/>
          <w:b/>
          <w:sz w:val="24"/>
          <w:szCs w:val="24"/>
        </w:rPr>
      </w:pPr>
    </w:p>
    <w:p w14:paraId="3BD86791" w14:textId="01332389" w:rsidR="00EE6050" w:rsidRDefault="00EE6050" w:rsidP="004D6819">
      <w:pPr>
        <w:rPr>
          <w:rFonts w:ascii="Times New Roman" w:hAnsi="Times New Roman" w:cs="Times New Roman"/>
          <w:b/>
          <w:sz w:val="24"/>
          <w:szCs w:val="24"/>
        </w:rPr>
      </w:pPr>
      <w:r w:rsidRPr="00EE6050">
        <w:rPr>
          <w:rFonts w:ascii="Times New Roman" w:hAnsi="Times New Roman" w:cs="Times New Roman"/>
          <w:b/>
          <w:sz w:val="24"/>
          <w:szCs w:val="24"/>
        </w:rPr>
        <w:t>ABSTRACT</w:t>
      </w:r>
      <w:r>
        <w:rPr>
          <w:rFonts w:ascii="Times New Roman" w:hAnsi="Times New Roman" w:cs="Times New Roman"/>
          <w:b/>
          <w:sz w:val="24"/>
          <w:szCs w:val="24"/>
        </w:rPr>
        <w:t>:</w:t>
      </w:r>
    </w:p>
    <w:p w14:paraId="780A08BA" w14:textId="77777777" w:rsidR="00FA0D33" w:rsidRDefault="00EE6050" w:rsidP="004D6819">
      <w:pPr>
        <w:spacing w:line="360" w:lineRule="auto"/>
        <w:jc w:val="both"/>
        <w:rPr>
          <w:rFonts w:ascii="Times New Roman" w:hAnsi="Times New Roman" w:cs="Times New Roman"/>
          <w:sz w:val="24"/>
          <w:szCs w:val="24"/>
        </w:rPr>
      </w:pPr>
      <w:r>
        <w:rPr>
          <w:rFonts w:ascii="Times New Roman" w:hAnsi="Times New Roman" w:cs="Times New Roman"/>
          <w:b/>
          <w:sz w:val="24"/>
          <w:szCs w:val="24"/>
        </w:rPr>
        <w:t xml:space="preserve">Background- </w:t>
      </w:r>
      <w:r w:rsidR="00F6104F">
        <w:rPr>
          <w:rFonts w:ascii="Times New Roman" w:hAnsi="Times New Roman" w:cs="Times New Roman"/>
          <w:sz w:val="24"/>
          <w:szCs w:val="24"/>
        </w:rPr>
        <w:t>Sepsis</w:t>
      </w:r>
      <w:r w:rsidR="00C77FC2" w:rsidRPr="00C77FC2">
        <w:rPr>
          <w:rFonts w:ascii="Times New Roman" w:hAnsi="Times New Roman" w:cs="Times New Roman"/>
          <w:sz w:val="24"/>
          <w:szCs w:val="24"/>
        </w:rPr>
        <w:t xml:space="preserve"> </w:t>
      </w:r>
      <w:r w:rsidR="00F6104F">
        <w:rPr>
          <w:rFonts w:ascii="Times New Roman" w:hAnsi="Times New Roman" w:cs="Times New Roman"/>
          <w:sz w:val="24"/>
          <w:szCs w:val="24"/>
        </w:rPr>
        <w:t xml:space="preserve">is </w:t>
      </w:r>
      <w:r w:rsidR="00C77FC2" w:rsidRPr="00C77FC2">
        <w:rPr>
          <w:rFonts w:ascii="Times New Roman" w:hAnsi="Times New Roman" w:cs="Times New Roman"/>
          <w:sz w:val="24"/>
          <w:szCs w:val="24"/>
        </w:rPr>
        <w:t>a life</w:t>
      </w:r>
      <w:r w:rsidR="00C77FC2" w:rsidRPr="00C77FC2">
        <w:rPr>
          <w:rFonts w:ascii="Cambria Math" w:hAnsi="Cambria Math" w:cs="Cambria Math"/>
          <w:sz w:val="24"/>
          <w:szCs w:val="24"/>
        </w:rPr>
        <w:t>‐</w:t>
      </w:r>
      <w:r w:rsidR="00C77FC2" w:rsidRPr="00C77FC2">
        <w:rPr>
          <w:rFonts w:ascii="Times New Roman" w:hAnsi="Times New Roman" w:cs="Times New Roman"/>
          <w:sz w:val="24"/>
          <w:szCs w:val="24"/>
        </w:rPr>
        <w:t xml:space="preserve">threatening organ dysfunction due to </w:t>
      </w:r>
      <w:r w:rsidR="00C77FC2">
        <w:rPr>
          <w:rFonts w:ascii="Times New Roman" w:hAnsi="Times New Roman" w:cs="Times New Roman"/>
          <w:sz w:val="24"/>
          <w:szCs w:val="24"/>
        </w:rPr>
        <w:t xml:space="preserve">dysregulated host response to </w:t>
      </w:r>
      <w:r w:rsidR="00C77FC2" w:rsidRPr="00247914">
        <w:rPr>
          <w:rFonts w:ascii="Times New Roman" w:hAnsi="Times New Roman" w:cs="Times New Roman"/>
          <w:sz w:val="24"/>
          <w:szCs w:val="24"/>
        </w:rPr>
        <w:t xml:space="preserve">infection, </w:t>
      </w:r>
      <w:r w:rsidR="00F6104F" w:rsidRPr="00247914">
        <w:rPr>
          <w:rFonts w:ascii="Times New Roman" w:hAnsi="Times New Roman" w:cs="Times New Roman"/>
          <w:sz w:val="24"/>
          <w:szCs w:val="24"/>
        </w:rPr>
        <w:t>which is</w:t>
      </w:r>
      <w:r w:rsidR="00C77FC2" w:rsidRPr="00247914">
        <w:rPr>
          <w:rFonts w:ascii="Times New Roman" w:hAnsi="Times New Roman" w:cs="Times New Roman"/>
          <w:sz w:val="24"/>
          <w:szCs w:val="24"/>
        </w:rPr>
        <w:t xml:space="preserve"> a leading cause of morbidity and mortality worldwide. </w:t>
      </w:r>
      <w:r w:rsidR="00F6104F" w:rsidRPr="00247914">
        <w:rPr>
          <w:rFonts w:ascii="Times New Roman" w:hAnsi="Times New Roman" w:cs="Times New Roman"/>
          <w:sz w:val="24"/>
          <w:szCs w:val="24"/>
        </w:rPr>
        <w:t xml:space="preserve">It </w:t>
      </w:r>
      <w:r w:rsidRPr="00247914">
        <w:rPr>
          <w:rFonts w:ascii="Times New Roman" w:hAnsi="Times New Roman" w:cs="Times New Roman"/>
          <w:sz w:val="24"/>
          <w:szCs w:val="24"/>
        </w:rPr>
        <w:t xml:space="preserve">is quite common critical disease in intensive care unit (ICU). </w:t>
      </w:r>
      <w:r w:rsidR="00165EE5" w:rsidRPr="00247914">
        <w:rPr>
          <w:rFonts w:ascii="Times New Roman" w:hAnsi="Times New Roman" w:cs="Times New Roman"/>
          <w:sz w:val="24"/>
          <w:szCs w:val="24"/>
        </w:rPr>
        <w:t>It is the most expensive hospital condition to treat and the leading cause of hospital deaths. Mortality rate for patients with septic shock is 25-40%</w:t>
      </w:r>
      <w:r w:rsidR="00C77FC2" w:rsidRPr="00247914">
        <w:rPr>
          <w:rFonts w:ascii="Times New Roman" w:hAnsi="Times New Roman" w:cs="Times New Roman"/>
          <w:sz w:val="24"/>
          <w:szCs w:val="24"/>
        </w:rPr>
        <w:t xml:space="preserve"> despite of standard treatment</w:t>
      </w:r>
      <w:r w:rsidR="00165EE5" w:rsidRPr="00247914">
        <w:rPr>
          <w:rFonts w:ascii="Times New Roman" w:hAnsi="Times New Roman" w:cs="Times New Roman"/>
          <w:sz w:val="24"/>
          <w:szCs w:val="24"/>
        </w:rPr>
        <w:t>. The present study is designed to evaluate the efficacy of</w:t>
      </w:r>
      <w:r w:rsidR="00C77FC2" w:rsidRPr="00247914">
        <w:rPr>
          <w:rFonts w:ascii="Times New Roman" w:hAnsi="Times New Roman" w:cs="Times New Roman"/>
          <w:sz w:val="24"/>
          <w:szCs w:val="24"/>
        </w:rPr>
        <w:t xml:space="preserve"> high dose IV</w:t>
      </w:r>
      <w:r w:rsidR="00165EE5" w:rsidRPr="00247914">
        <w:rPr>
          <w:rFonts w:ascii="Times New Roman" w:hAnsi="Times New Roman" w:cs="Times New Roman"/>
          <w:sz w:val="24"/>
          <w:szCs w:val="24"/>
        </w:rPr>
        <w:t xml:space="preserve"> vitamin c</w:t>
      </w:r>
      <w:r w:rsidR="00C77FC2" w:rsidRPr="00247914">
        <w:rPr>
          <w:rFonts w:ascii="Times New Roman" w:hAnsi="Times New Roman" w:cs="Times New Roman"/>
          <w:sz w:val="24"/>
          <w:szCs w:val="24"/>
        </w:rPr>
        <w:t xml:space="preserve"> in septic patients and thus considering it as an adjuvant therapy in septic shock.</w:t>
      </w:r>
    </w:p>
    <w:p w14:paraId="33FDCCB8" w14:textId="77777777" w:rsidR="00F6104F" w:rsidRPr="00247914" w:rsidRDefault="00F6104F" w:rsidP="004D6819">
      <w:pPr>
        <w:spacing w:line="360" w:lineRule="auto"/>
        <w:jc w:val="both"/>
        <w:rPr>
          <w:rFonts w:ascii="Times New Roman" w:hAnsi="Times New Roman" w:cs="Times New Roman"/>
          <w:sz w:val="24"/>
          <w:szCs w:val="24"/>
        </w:rPr>
      </w:pPr>
      <w:r w:rsidRPr="00247914">
        <w:rPr>
          <w:rFonts w:ascii="Times New Roman" w:hAnsi="Times New Roman" w:cs="Times New Roman"/>
          <w:b/>
          <w:sz w:val="24"/>
          <w:szCs w:val="24"/>
        </w:rPr>
        <w:t>Study design: :</w:t>
      </w:r>
      <w:r w:rsidRPr="00247914">
        <w:rPr>
          <w:rFonts w:ascii="Times New Roman" w:hAnsi="Times New Roman" w:cs="Times New Roman"/>
          <w:sz w:val="24"/>
          <w:szCs w:val="24"/>
        </w:rPr>
        <w:t xml:space="preserve"> This is </w:t>
      </w:r>
      <w:r w:rsidR="00DC1A31">
        <w:rPr>
          <w:rFonts w:ascii="Times New Roman" w:hAnsi="Times New Roman" w:cs="Times New Roman"/>
          <w:sz w:val="24"/>
          <w:szCs w:val="24"/>
        </w:rPr>
        <w:t>a</w:t>
      </w:r>
      <w:r w:rsidRPr="00247914">
        <w:rPr>
          <w:rFonts w:ascii="Times New Roman" w:hAnsi="Times New Roman" w:cs="Times New Roman"/>
          <w:sz w:val="24"/>
          <w:szCs w:val="24"/>
        </w:rPr>
        <w:t xml:space="preserve"> prospective, interventional study conducted on 50 patients diagnosed with septic shock admitted to critical care unit (CCU) at Owaisi Hospital And Research Centre collected between August (2021) to March (2022).</w:t>
      </w:r>
    </w:p>
    <w:p w14:paraId="5454B43B" w14:textId="2E159BAC" w:rsidR="00692C25" w:rsidRDefault="00F6104F" w:rsidP="004D6819">
      <w:pPr>
        <w:spacing w:line="360" w:lineRule="auto"/>
        <w:jc w:val="both"/>
        <w:rPr>
          <w:rFonts w:ascii="Times New Roman" w:hAnsi="Times New Roman" w:cs="Times New Roman"/>
          <w:sz w:val="24"/>
          <w:szCs w:val="24"/>
        </w:rPr>
      </w:pPr>
      <w:r w:rsidRPr="00247914">
        <w:rPr>
          <w:rFonts w:ascii="Times New Roman" w:hAnsi="Times New Roman" w:cs="Times New Roman"/>
          <w:b/>
          <w:sz w:val="24"/>
          <w:szCs w:val="24"/>
        </w:rPr>
        <w:t>Methods:</w:t>
      </w:r>
      <w:r w:rsidRPr="00247914">
        <w:rPr>
          <w:rFonts w:ascii="Times New Roman" w:hAnsi="Times New Roman" w:cs="Times New Roman"/>
          <w:sz w:val="24"/>
          <w:szCs w:val="24"/>
        </w:rPr>
        <w:t xml:space="preserve"> </w:t>
      </w:r>
      <w:r w:rsidR="00F338CE" w:rsidRPr="00247914">
        <w:rPr>
          <w:rFonts w:ascii="Times New Roman" w:hAnsi="Times New Roman" w:cs="Times New Roman"/>
          <w:sz w:val="24"/>
          <w:szCs w:val="24"/>
        </w:rPr>
        <w:t xml:space="preserve">Fifty </w:t>
      </w:r>
      <w:r w:rsidRPr="00247914">
        <w:rPr>
          <w:rFonts w:ascii="Times New Roman" w:hAnsi="Times New Roman" w:cs="Times New Roman"/>
          <w:sz w:val="24"/>
          <w:szCs w:val="24"/>
        </w:rPr>
        <w:t xml:space="preserve">patients </w:t>
      </w:r>
      <w:r w:rsidR="00F338CE" w:rsidRPr="00247914">
        <w:rPr>
          <w:rFonts w:ascii="Times New Roman" w:hAnsi="Times New Roman" w:cs="Times New Roman"/>
          <w:sz w:val="24"/>
          <w:szCs w:val="24"/>
        </w:rPr>
        <w:t xml:space="preserve">diagnosed </w:t>
      </w:r>
      <w:r w:rsidRPr="00247914">
        <w:rPr>
          <w:rFonts w:ascii="Times New Roman" w:hAnsi="Times New Roman" w:cs="Times New Roman"/>
          <w:sz w:val="24"/>
          <w:szCs w:val="24"/>
        </w:rPr>
        <w:t>with sepsis</w:t>
      </w:r>
      <w:r w:rsidR="00F338CE" w:rsidRPr="00247914">
        <w:rPr>
          <w:rFonts w:ascii="Times New Roman" w:hAnsi="Times New Roman" w:cs="Times New Roman"/>
          <w:sz w:val="24"/>
          <w:szCs w:val="24"/>
        </w:rPr>
        <w:t xml:space="preserve"> and progressing to septic shock</w:t>
      </w:r>
      <w:r w:rsidRPr="00247914">
        <w:rPr>
          <w:rFonts w:ascii="Times New Roman" w:hAnsi="Times New Roman" w:cs="Times New Roman"/>
          <w:sz w:val="24"/>
          <w:szCs w:val="24"/>
        </w:rPr>
        <w:t xml:space="preserve"> in our department were randomly divided</w:t>
      </w:r>
      <w:r w:rsidR="00F338CE" w:rsidRPr="00247914">
        <w:rPr>
          <w:rFonts w:ascii="Times New Roman" w:hAnsi="Times New Roman" w:cs="Times New Roman"/>
          <w:sz w:val="24"/>
          <w:szCs w:val="24"/>
        </w:rPr>
        <w:t xml:space="preserve"> </w:t>
      </w:r>
      <w:r w:rsidRPr="00247914">
        <w:rPr>
          <w:rFonts w:ascii="Times New Roman" w:hAnsi="Times New Roman" w:cs="Times New Roman"/>
          <w:sz w:val="24"/>
          <w:szCs w:val="24"/>
        </w:rPr>
        <w:t>into two groups: the control group (</w:t>
      </w:r>
      <w:r w:rsidR="00F338CE" w:rsidRPr="00247914">
        <w:rPr>
          <w:rFonts w:ascii="Times New Roman" w:hAnsi="Times New Roman" w:cs="Times New Roman"/>
          <w:sz w:val="24"/>
          <w:szCs w:val="24"/>
        </w:rPr>
        <w:t>25</w:t>
      </w:r>
      <w:r w:rsidRPr="00247914">
        <w:rPr>
          <w:rFonts w:ascii="Times New Roman" w:hAnsi="Times New Roman" w:cs="Times New Roman"/>
          <w:sz w:val="24"/>
          <w:szCs w:val="24"/>
        </w:rPr>
        <w:t xml:space="preserve"> cases) and the vitamin C group (</w:t>
      </w:r>
      <w:r w:rsidR="00F338CE" w:rsidRPr="00247914">
        <w:rPr>
          <w:rFonts w:ascii="Times New Roman" w:hAnsi="Times New Roman" w:cs="Times New Roman"/>
          <w:sz w:val="24"/>
          <w:szCs w:val="24"/>
        </w:rPr>
        <w:t>25</w:t>
      </w:r>
      <w:r w:rsidRPr="00247914">
        <w:rPr>
          <w:rFonts w:ascii="Times New Roman" w:hAnsi="Times New Roman" w:cs="Times New Roman"/>
          <w:sz w:val="24"/>
          <w:szCs w:val="24"/>
        </w:rPr>
        <w:t xml:space="preserve"> cases). The control group was treated by basic therapy with intravenous drip </w:t>
      </w:r>
      <w:r w:rsidR="00F338CE" w:rsidRPr="00247914">
        <w:rPr>
          <w:rFonts w:ascii="Times New Roman" w:hAnsi="Times New Roman" w:cs="Times New Roman"/>
          <w:sz w:val="24"/>
          <w:szCs w:val="24"/>
        </w:rPr>
        <w:t>0.9% Normal saline 100ml/hr  or DNS 125ml/hr (0.9% Sodium chloride and 5% Dextrose) as placebo</w:t>
      </w:r>
      <w:r w:rsidRPr="00247914">
        <w:rPr>
          <w:rFonts w:ascii="Times New Roman" w:hAnsi="Times New Roman" w:cs="Times New Roman"/>
          <w:sz w:val="24"/>
          <w:szCs w:val="24"/>
        </w:rPr>
        <w:t xml:space="preserve"> while the vitamin C group was administered intravenously by </w:t>
      </w:r>
      <w:r w:rsidR="00F338CE" w:rsidRPr="00247914">
        <w:rPr>
          <w:rFonts w:ascii="Times New Roman" w:hAnsi="Times New Roman" w:cs="Times New Roman"/>
          <w:sz w:val="24"/>
          <w:szCs w:val="24"/>
        </w:rPr>
        <w:t>1.5</w:t>
      </w:r>
      <w:r w:rsidRPr="00247914">
        <w:rPr>
          <w:rFonts w:ascii="Times New Roman" w:hAnsi="Times New Roman" w:cs="Times New Roman"/>
          <w:sz w:val="24"/>
          <w:szCs w:val="24"/>
        </w:rPr>
        <w:t xml:space="preserve"> g vitamin C</w:t>
      </w:r>
      <w:r w:rsidR="00F338CE" w:rsidRPr="00247914">
        <w:rPr>
          <w:rFonts w:ascii="Times New Roman" w:hAnsi="Times New Roman" w:cs="Times New Roman"/>
          <w:sz w:val="24"/>
          <w:szCs w:val="24"/>
        </w:rPr>
        <w:t xml:space="preserve"> every eight hourly</w:t>
      </w:r>
      <w:r w:rsidRPr="00247914">
        <w:rPr>
          <w:rFonts w:ascii="Times New Roman" w:hAnsi="Times New Roman" w:cs="Times New Roman"/>
          <w:sz w:val="24"/>
          <w:szCs w:val="24"/>
        </w:rPr>
        <w:t xml:space="preserve"> dissolved into </w:t>
      </w:r>
      <w:r w:rsidR="00F338CE" w:rsidRPr="00247914">
        <w:rPr>
          <w:rFonts w:ascii="Times New Roman" w:hAnsi="Times New Roman" w:cs="Times New Roman"/>
          <w:sz w:val="24"/>
          <w:szCs w:val="24"/>
        </w:rPr>
        <w:t>100ml Normal saline</w:t>
      </w:r>
      <w:r w:rsidRPr="00247914">
        <w:rPr>
          <w:rFonts w:ascii="Times New Roman" w:hAnsi="Times New Roman" w:cs="Times New Roman"/>
          <w:sz w:val="24"/>
          <w:szCs w:val="24"/>
        </w:rPr>
        <w:t xml:space="preserve">. The </w:t>
      </w:r>
      <w:r w:rsidR="00F338CE" w:rsidRPr="00247914">
        <w:rPr>
          <w:rFonts w:ascii="Times New Roman" w:hAnsi="Times New Roman" w:cs="Times New Roman"/>
          <w:sz w:val="24"/>
          <w:szCs w:val="24"/>
        </w:rPr>
        <w:t xml:space="preserve">efficacy and </w:t>
      </w:r>
      <w:r w:rsidRPr="00247914">
        <w:rPr>
          <w:rFonts w:ascii="Times New Roman" w:hAnsi="Times New Roman" w:cs="Times New Roman"/>
          <w:sz w:val="24"/>
          <w:szCs w:val="24"/>
        </w:rPr>
        <w:t>mortality were statistically analyzed and compared between the two groups.</w:t>
      </w:r>
    </w:p>
    <w:p w14:paraId="75F35F3D" w14:textId="1580D02E" w:rsidR="00692C25" w:rsidRPr="00A22764" w:rsidRDefault="00247914" w:rsidP="004D6819">
      <w:pPr>
        <w:spacing w:line="360" w:lineRule="auto"/>
        <w:jc w:val="both"/>
        <w:rPr>
          <w:rFonts w:ascii="Times New Roman" w:eastAsia="Calibri" w:hAnsi="Times New Roman" w:cs="Times New Roman"/>
          <w:color w:val="000000"/>
          <w:sz w:val="24"/>
          <w:szCs w:val="24"/>
          <w:lang w:val="en-IN"/>
        </w:rPr>
      </w:pPr>
      <w:r w:rsidRPr="00247914">
        <w:rPr>
          <w:rFonts w:ascii="Times New Roman" w:hAnsi="Times New Roman" w:cs="Times New Roman"/>
          <w:b/>
          <w:sz w:val="24"/>
          <w:szCs w:val="24"/>
        </w:rPr>
        <w:t>Results:</w:t>
      </w:r>
      <w:r>
        <w:rPr>
          <w:rFonts w:ascii="Times New Roman" w:hAnsi="Times New Roman" w:cs="Times New Roman"/>
          <w:b/>
          <w:sz w:val="24"/>
          <w:szCs w:val="24"/>
        </w:rPr>
        <w:t xml:space="preserve"> </w:t>
      </w:r>
      <w:r w:rsidR="00470C46" w:rsidRPr="00470C46">
        <w:rPr>
          <w:rFonts w:ascii="Times New Roman" w:hAnsi="Times New Roman" w:cs="Times New Roman"/>
          <w:bCs/>
          <w:sz w:val="24"/>
          <w:szCs w:val="24"/>
        </w:rPr>
        <w:t xml:space="preserve">The data was </w:t>
      </w:r>
      <w:proofErr w:type="spellStart"/>
      <w:r w:rsidR="00470C46" w:rsidRPr="00470C46">
        <w:rPr>
          <w:rFonts w:ascii="Times New Roman" w:hAnsi="Times New Roman" w:cs="Times New Roman"/>
          <w:bCs/>
          <w:sz w:val="24"/>
          <w:szCs w:val="24"/>
        </w:rPr>
        <w:t>analysed</w:t>
      </w:r>
      <w:proofErr w:type="spellEnd"/>
      <w:r w:rsidR="00470C46" w:rsidRPr="00470C46">
        <w:rPr>
          <w:rFonts w:ascii="Times New Roman" w:hAnsi="Times New Roman" w:cs="Times New Roman"/>
          <w:bCs/>
          <w:sz w:val="24"/>
          <w:szCs w:val="24"/>
        </w:rPr>
        <w:t xml:space="preserve"> using Microsoft Excel and SPSS version 26. Descriptive Statistics and frequencies. Several graphical data was also obtained from this software. Summary statistics will be used to describe the clinical data and presented as means or percentages as appropriate. The Student’s t tests will be applied to analyze the data to acquire </w:t>
      </w:r>
      <w:r w:rsidR="00470C46" w:rsidRPr="00470C46">
        <w:rPr>
          <w:rFonts w:ascii="Times New Roman" w:hAnsi="Times New Roman" w:cs="Times New Roman"/>
          <w:bCs/>
          <w:sz w:val="24"/>
          <w:szCs w:val="24"/>
        </w:rPr>
        <w:lastRenderedPageBreak/>
        <w:t>p-value.</w:t>
      </w:r>
      <w:r w:rsidR="00A22764">
        <w:rPr>
          <w:rFonts w:ascii="Times New Roman" w:hAnsi="Times New Roman" w:cs="Times New Roman"/>
          <w:bCs/>
          <w:sz w:val="24"/>
          <w:szCs w:val="24"/>
        </w:rPr>
        <w:t xml:space="preserve"> </w:t>
      </w:r>
      <w:r w:rsidR="00A22764" w:rsidRPr="00DC0A8F">
        <w:rPr>
          <w:rFonts w:ascii="Times New Roman" w:eastAsia="Calibri" w:hAnsi="Times New Roman" w:cs="Times New Roman"/>
          <w:color w:val="000000"/>
          <w:sz w:val="24"/>
          <w:szCs w:val="24"/>
          <w:lang w:val="en-IN"/>
        </w:rPr>
        <w:t>The mean value of PCR was 33.35 56.847 in control group and 47.21 60.627 in test group.</w:t>
      </w:r>
      <w:r w:rsidR="00A22764">
        <w:rPr>
          <w:rFonts w:ascii="Times New Roman" w:eastAsia="Calibri" w:hAnsi="Times New Roman" w:cs="Times New Roman"/>
          <w:color w:val="000000"/>
          <w:sz w:val="24"/>
          <w:szCs w:val="24"/>
          <w:lang w:val="en-IN"/>
        </w:rPr>
        <w:t xml:space="preserve"> The final outcome of patients was as follows: In test group, </w:t>
      </w:r>
      <w:r w:rsidR="00A22764" w:rsidRPr="005D25DF">
        <w:rPr>
          <w:rFonts w:ascii="Times New Roman" w:eastAsia="Calibri" w:hAnsi="Times New Roman" w:cs="Times New Roman"/>
          <w:color w:val="000000"/>
          <w:sz w:val="24"/>
          <w:szCs w:val="24"/>
          <w:lang w:val="en-IN"/>
        </w:rPr>
        <w:t>Discharged At Stable Condition</w:t>
      </w:r>
      <w:r w:rsidR="00A22764">
        <w:rPr>
          <w:rFonts w:ascii="Times New Roman" w:eastAsia="Calibri" w:hAnsi="Times New Roman" w:cs="Times New Roman"/>
          <w:color w:val="000000"/>
          <w:sz w:val="24"/>
          <w:szCs w:val="24"/>
          <w:lang w:val="en-IN"/>
        </w:rPr>
        <w:t xml:space="preserve"> were 16 patients, </w:t>
      </w:r>
      <w:r w:rsidR="00A22764" w:rsidRPr="005D25DF">
        <w:rPr>
          <w:rFonts w:ascii="Times New Roman" w:eastAsia="Calibri" w:hAnsi="Times New Roman" w:cs="Times New Roman"/>
          <w:color w:val="000000"/>
          <w:sz w:val="24"/>
          <w:szCs w:val="24"/>
          <w:lang w:val="en-IN"/>
        </w:rPr>
        <w:t>Left Against Medical Advise</w:t>
      </w:r>
      <w:r w:rsidR="00A22764">
        <w:rPr>
          <w:rFonts w:ascii="Times New Roman" w:eastAsia="Calibri" w:hAnsi="Times New Roman" w:cs="Times New Roman"/>
          <w:color w:val="000000"/>
          <w:sz w:val="24"/>
          <w:szCs w:val="24"/>
          <w:lang w:val="en-IN"/>
        </w:rPr>
        <w:t xml:space="preserve"> were 5 patients and death of 4 patients. In Control group, </w:t>
      </w:r>
      <w:r w:rsidR="00A22764" w:rsidRPr="005D25DF">
        <w:rPr>
          <w:rFonts w:ascii="Times New Roman" w:eastAsia="Calibri" w:hAnsi="Times New Roman" w:cs="Times New Roman"/>
          <w:color w:val="000000"/>
          <w:sz w:val="24"/>
          <w:szCs w:val="24"/>
          <w:lang w:val="en-IN"/>
        </w:rPr>
        <w:t>Discharged At Stable Condition</w:t>
      </w:r>
      <w:r w:rsidR="00A22764">
        <w:rPr>
          <w:rFonts w:ascii="Times New Roman" w:eastAsia="Calibri" w:hAnsi="Times New Roman" w:cs="Times New Roman"/>
          <w:color w:val="000000"/>
          <w:sz w:val="24"/>
          <w:szCs w:val="24"/>
          <w:lang w:val="en-IN"/>
        </w:rPr>
        <w:t xml:space="preserve"> were 14 patients, </w:t>
      </w:r>
      <w:r w:rsidR="00A22764" w:rsidRPr="005D25DF">
        <w:rPr>
          <w:rFonts w:ascii="Times New Roman" w:eastAsia="Calibri" w:hAnsi="Times New Roman" w:cs="Times New Roman"/>
          <w:color w:val="000000"/>
          <w:sz w:val="24"/>
          <w:szCs w:val="24"/>
          <w:lang w:val="en-IN"/>
        </w:rPr>
        <w:t>Left Against Medical Advise</w:t>
      </w:r>
      <w:r w:rsidR="00A22764">
        <w:rPr>
          <w:rFonts w:ascii="Times New Roman" w:eastAsia="Calibri" w:hAnsi="Times New Roman" w:cs="Times New Roman"/>
          <w:color w:val="000000"/>
          <w:sz w:val="24"/>
          <w:szCs w:val="24"/>
          <w:lang w:val="en-IN"/>
        </w:rPr>
        <w:t xml:space="preserve"> were 3 patients and death of 8 patients.</w:t>
      </w:r>
    </w:p>
    <w:p w14:paraId="5659E9BD" w14:textId="3916A1FA" w:rsidR="00247914" w:rsidRDefault="00247914" w:rsidP="004D6819">
      <w:pPr>
        <w:spacing w:line="360" w:lineRule="auto"/>
        <w:jc w:val="both"/>
        <w:rPr>
          <w:rFonts w:ascii="Times New Roman" w:hAnsi="Times New Roman" w:cs="Times New Roman"/>
          <w:b/>
          <w:sz w:val="24"/>
          <w:szCs w:val="24"/>
        </w:rPr>
      </w:pPr>
      <w:r>
        <w:rPr>
          <w:rFonts w:ascii="Times New Roman" w:hAnsi="Times New Roman" w:cs="Times New Roman"/>
          <w:b/>
          <w:sz w:val="24"/>
          <w:szCs w:val="24"/>
        </w:rPr>
        <w:t>Conclusion:</w:t>
      </w:r>
      <w:r w:rsidRPr="00692C25">
        <w:rPr>
          <w:rFonts w:ascii="Times New Roman" w:hAnsi="Times New Roman" w:cs="Times New Roman"/>
          <w:bCs/>
          <w:sz w:val="24"/>
          <w:szCs w:val="24"/>
        </w:rPr>
        <w:t xml:space="preserve"> </w:t>
      </w:r>
      <w:r w:rsidR="00692C25" w:rsidRPr="00692C25">
        <w:rPr>
          <w:rFonts w:ascii="Times New Roman" w:hAnsi="Times New Roman" w:cs="Times New Roman"/>
          <w:bCs/>
          <w:sz w:val="24"/>
          <w:szCs w:val="24"/>
        </w:rPr>
        <w:t>In critically ill patients, vitamin C deficiency is frequently observed. After almost one century of in vitro-experiments and animal models, there is an abundance of plausible data for the protective effects of vitamin C against oxidative-stress-mediated cell damage and organ dysfunction in sepsis and septic shock, respectively. Only with parenteral high-dose administration, vitamin C deficiency can be restored efficiently. The lack of randomized controlled trials and the uncertainty regarding optimal dose, timing and possible adverse effects impeded the clinical acceptance, and preclude a recommendation for vitamin C in the clinical care of septic patients. Thus, further research is needed to investigate the benefit of vitamin C in sepsis and septic shock.</w:t>
      </w:r>
    </w:p>
    <w:p w14:paraId="5268E7E7" w14:textId="0E4CB558" w:rsidR="00247914" w:rsidRDefault="00247914" w:rsidP="004D6819">
      <w:pPr>
        <w:spacing w:line="360" w:lineRule="auto"/>
        <w:jc w:val="both"/>
        <w:rPr>
          <w:rFonts w:ascii="Times New Roman" w:hAnsi="Times New Roman" w:cs="Times New Roman"/>
          <w:sz w:val="24"/>
          <w:szCs w:val="24"/>
        </w:rPr>
      </w:pPr>
      <w:r>
        <w:rPr>
          <w:rFonts w:ascii="Times New Roman" w:hAnsi="Times New Roman" w:cs="Times New Roman"/>
          <w:b/>
          <w:sz w:val="24"/>
          <w:szCs w:val="24"/>
        </w:rPr>
        <w:t>Key words-</w:t>
      </w:r>
      <w:r w:rsidRPr="00247914">
        <w:rPr>
          <w:rFonts w:ascii="Times New Roman" w:hAnsi="Times New Roman" w:cs="Times New Roman"/>
          <w:sz w:val="24"/>
          <w:szCs w:val="24"/>
        </w:rPr>
        <w:t>Sepsis, septic shock</w:t>
      </w:r>
      <w:r>
        <w:rPr>
          <w:rFonts w:ascii="Times New Roman" w:hAnsi="Times New Roman" w:cs="Times New Roman"/>
          <w:sz w:val="24"/>
          <w:szCs w:val="24"/>
        </w:rPr>
        <w:t xml:space="preserve">, </w:t>
      </w:r>
      <w:r w:rsidR="001153C6">
        <w:rPr>
          <w:rFonts w:ascii="Times New Roman" w:hAnsi="Times New Roman" w:cs="Times New Roman"/>
          <w:sz w:val="24"/>
          <w:szCs w:val="24"/>
        </w:rPr>
        <w:t>CCU, Vitamin C</w:t>
      </w:r>
    </w:p>
    <w:p w14:paraId="5BA7D542" w14:textId="50AD2350" w:rsidR="00DC0B27" w:rsidRDefault="00DC0B27" w:rsidP="00FA0D33">
      <w:pPr>
        <w:spacing w:line="360" w:lineRule="auto"/>
        <w:ind w:right="-90"/>
        <w:jc w:val="both"/>
        <w:rPr>
          <w:rFonts w:ascii="Times New Roman" w:hAnsi="Times New Roman" w:cs="Times New Roman"/>
          <w:sz w:val="24"/>
          <w:szCs w:val="24"/>
        </w:rPr>
      </w:pPr>
    </w:p>
    <w:p w14:paraId="1D308F7A" w14:textId="6AFD05DF" w:rsidR="00DC0B27" w:rsidRDefault="00DC0B27" w:rsidP="00FA0D33">
      <w:pPr>
        <w:spacing w:line="360" w:lineRule="auto"/>
        <w:ind w:right="-90"/>
        <w:jc w:val="both"/>
        <w:rPr>
          <w:rFonts w:ascii="Times New Roman" w:hAnsi="Times New Roman" w:cs="Times New Roman"/>
          <w:sz w:val="24"/>
          <w:szCs w:val="24"/>
        </w:rPr>
      </w:pPr>
    </w:p>
    <w:p w14:paraId="07D731F4" w14:textId="09BF30A8" w:rsidR="00DC0B27" w:rsidRDefault="00DC0B27" w:rsidP="00FA0D33">
      <w:pPr>
        <w:spacing w:line="360" w:lineRule="auto"/>
        <w:ind w:right="-90"/>
        <w:jc w:val="both"/>
        <w:rPr>
          <w:rFonts w:ascii="Times New Roman" w:hAnsi="Times New Roman" w:cs="Times New Roman"/>
          <w:sz w:val="24"/>
          <w:szCs w:val="24"/>
        </w:rPr>
      </w:pPr>
    </w:p>
    <w:p w14:paraId="06BA5C80" w14:textId="367B4835" w:rsidR="00552E97" w:rsidRDefault="00552E97" w:rsidP="00FA0D33">
      <w:pPr>
        <w:spacing w:line="360" w:lineRule="auto"/>
        <w:ind w:right="-90"/>
        <w:jc w:val="both"/>
        <w:rPr>
          <w:rFonts w:ascii="Times New Roman" w:hAnsi="Times New Roman" w:cs="Times New Roman"/>
          <w:sz w:val="24"/>
          <w:szCs w:val="24"/>
        </w:rPr>
      </w:pPr>
    </w:p>
    <w:p w14:paraId="1B0E9DF5" w14:textId="1ACE8D42" w:rsidR="00AA157A" w:rsidRDefault="00AA157A" w:rsidP="009A0119">
      <w:pPr>
        <w:pStyle w:val="Default"/>
        <w:rPr>
          <w:rFonts w:asciiTheme="majorBidi" w:hAnsiTheme="majorBidi" w:cstheme="majorBidi"/>
          <w:color w:val="auto"/>
        </w:rPr>
      </w:pPr>
    </w:p>
    <w:p w14:paraId="010DDADF" w14:textId="0B9251D7" w:rsidR="00AA157A" w:rsidRDefault="00AA157A" w:rsidP="009A0119">
      <w:pPr>
        <w:pStyle w:val="Default"/>
        <w:rPr>
          <w:rFonts w:asciiTheme="majorBidi" w:hAnsiTheme="majorBidi" w:cstheme="majorBidi"/>
          <w:color w:val="auto"/>
        </w:rPr>
      </w:pPr>
    </w:p>
    <w:p w14:paraId="075A5AC2" w14:textId="3058858E" w:rsidR="00AA157A" w:rsidRDefault="00AA157A" w:rsidP="009A0119">
      <w:pPr>
        <w:pStyle w:val="Default"/>
        <w:rPr>
          <w:rFonts w:asciiTheme="majorBidi" w:hAnsiTheme="majorBidi" w:cstheme="majorBidi"/>
          <w:color w:val="auto"/>
        </w:rPr>
      </w:pPr>
    </w:p>
    <w:p w14:paraId="4F0855D7" w14:textId="0DD1F29C" w:rsidR="00AA157A" w:rsidRDefault="00AA157A" w:rsidP="009A0119">
      <w:pPr>
        <w:pStyle w:val="Default"/>
        <w:rPr>
          <w:rFonts w:asciiTheme="majorBidi" w:hAnsiTheme="majorBidi" w:cstheme="majorBidi"/>
          <w:color w:val="auto"/>
        </w:rPr>
      </w:pPr>
    </w:p>
    <w:p w14:paraId="4A551034" w14:textId="3C5B8A4F" w:rsidR="00AA157A" w:rsidRDefault="00AA157A" w:rsidP="009A0119">
      <w:pPr>
        <w:pStyle w:val="Default"/>
        <w:rPr>
          <w:rFonts w:asciiTheme="majorBidi" w:hAnsiTheme="majorBidi" w:cstheme="majorBidi"/>
          <w:color w:val="auto"/>
        </w:rPr>
      </w:pPr>
    </w:p>
    <w:p w14:paraId="1ED5D65D" w14:textId="0C8D6336" w:rsidR="00AA157A" w:rsidRDefault="00AA157A" w:rsidP="009A0119">
      <w:pPr>
        <w:pStyle w:val="Default"/>
        <w:rPr>
          <w:rFonts w:asciiTheme="majorBidi" w:hAnsiTheme="majorBidi" w:cstheme="majorBidi"/>
          <w:color w:val="auto"/>
        </w:rPr>
      </w:pPr>
    </w:p>
    <w:p w14:paraId="2723D5A7" w14:textId="24C822A3" w:rsidR="00AA157A" w:rsidRDefault="00AA157A" w:rsidP="009A0119">
      <w:pPr>
        <w:pStyle w:val="Default"/>
        <w:rPr>
          <w:rFonts w:asciiTheme="majorBidi" w:hAnsiTheme="majorBidi" w:cstheme="majorBidi"/>
          <w:color w:val="auto"/>
        </w:rPr>
      </w:pPr>
    </w:p>
    <w:p w14:paraId="2CE59F2F" w14:textId="00188AFF" w:rsidR="00AA157A" w:rsidRDefault="00AA157A" w:rsidP="009A0119">
      <w:pPr>
        <w:pStyle w:val="Default"/>
        <w:rPr>
          <w:rFonts w:asciiTheme="majorBidi" w:hAnsiTheme="majorBidi" w:cstheme="majorBidi"/>
          <w:color w:val="auto"/>
        </w:rPr>
      </w:pPr>
    </w:p>
    <w:p w14:paraId="4898FF99" w14:textId="30927BCF" w:rsidR="00AA157A" w:rsidRDefault="00AA157A" w:rsidP="009A0119">
      <w:pPr>
        <w:pStyle w:val="Default"/>
        <w:rPr>
          <w:rFonts w:asciiTheme="majorBidi" w:hAnsiTheme="majorBidi" w:cstheme="majorBidi"/>
          <w:color w:val="auto"/>
        </w:rPr>
      </w:pPr>
    </w:p>
    <w:p w14:paraId="7EA47289" w14:textId="05CAF6C5" w:rsidR="00AA157A" w:rsidRDefault="00AA157A" w:rsidP="009A0119">
      <w:pPr>
        <w:pStyle w:val="Default"/>
        <w:rPr>
          <w:rFonts w:asciiTheme="majorBidi" w:hAnsiTheme="majorBidi" w:cstheme="majorBidi"/>
          <w:color w:val="auto"/>
        </w:rPr>
      </w:pPr>
    </w:p>
    <w:p w14:paraId="5669A6ED" w14:textId="2E35B741" w:rsidR="00AA157A" w:rsidRDefault="00AA157A" w:rsidP="009A0119">
      <w:pPr>
        <w:pStyle w:val="Default"/>
        <w:rPr>
          <w:rFonts w:asciiTheme="majorBidi" w:hAnsiTheme="majorBidi" w:cstheme="majorBidi"/>
          <w:color w:val="auto"/>
        </w:rPr>
      </w:pPr>
    </w:p>
    <w:p w14:paraId="5DC3F454" w14:textId="418131CD" w:rsidR="00AA157A" w:rsidRDefault="00AA157A" w:rsidP="009A0119">
      <w:pPr>
        <w:pStyle w:val="Default"/>
        <w:rPr>
          <w:rFonts w:asciiTheme="majorBidi" w:hAnsiTheme="majorBidi" w:cstheme="majorBidi"/>
          <w:color w:val="auto"/>
        </w:rPr>
      </w:pPr>
    </w:p>
    <w:p w14:paraId="2995BF3A" w14:textId="2D776228" w:rsidR="00A47D17" w:rsidRDefault="00A47D17" w:rsidP="00DC1A31">
      <w:pPr>
        <w:spacing w:line="360" w:lineRule="auto"/>
        <w:ind w:right="-90"/>
        <w:rPr>
          <w:rFonts w:ascii="Times New Roman" w:hAnsi="Times New Roman" w:cs="Times New Roman"/>
          <w:b/>
          <w:sz w:val="24"/>
          <w:szCs w:val="24"/>
        </w:rPr>
      </w:pPr>
    </w:p>
    <w:p w14:paraId="57FD6B67" w14:textId="77777777" w:rsidR="00015C71" w:rsidRDefault="00015C71" w:rsidP="00DC1A31">
      <w:pPr>
        <w:spacing w:line="360" w:lineRule="auto"/>
        <w:ind w:right="-90"/>
        <w:rPr>
          <w:rFonts w:ascii="Times New Roman" w:hAnsi="Times New Roman" w:cs="Times New Roman"/>
          <w:b/>
          <w:sz w:val="24"/>
          <w:szCs w:val="24"/>
        </w:rPr>
      </w:pPr>
    </w:p>
    <w:p w14:paraId="552CADD5" w14:textId="77777777" w:rsidR="00A47D17" w:rsidRDefault="00A47D17" w:rsidP="00DC1A31">
      <w:pPr>
        <w:spacing w:line="360" w:lineRule="auto"/>
        <w:ind w:right="-90"/>
        <w:rPr>
          <w:rFonts w:ascii="Times New Roman" w:hAnsi="Times New Roman" w:cs="Times New Roman"/>
          <w:b/>
          <w:sz w:val="24"/>
          <w:szCs w:val="24"/>
        </w:rPr>
      </w:pPr>
    </w:p>
    <w:p w14:paraId="2172C899" w14:textId="77777777" w:rsidR="00AA157A" w:rsidRDefault="00AA157A" w:rsidP="00DC1A31">
      <w:pPr>
        <w:spacing w:line="360" w:lineRule="auto"/>
        <w:ind w:right="-90"/>
        <w:rPr>
          <w:rFonts w:ascii="Times New Roman" w:hAnsi="Times New Roman" w:cs="Times New Roman"/>
          <w:b/>
          <w:sz w:val="24"/>
          <w:szCs w:val="24"/>
        </w:rPr>
      </w:pPr>
    </w:p>
    <w:p w14:paraId="57506BC7" w14:textId="77777777" w:rsidR="00565333" w:rsidRDefault="00565333" w:rsidP="00DC1A31">
      <w:pPr>
        <w:spacing w:line="360" w:lineRule="auto"/>
        <w:ind w:right="-90"/>
        <w:rPr>
          <w:rFonts w:ascii="Times New Roman" w:hAnsi="Times New Roman" w:cs="Times New Roman"/>
          <w:b/>
          <w:sz w:val="24"/>
          <w:szCs w:val="24"/>
        </w:rPr>
      </w:pPr>
      <w:r>
        <w:rPr>
          <w:rFonts w:ascii="Times New Roman" w:hAnsi="Times New Roman" w:cs="Times New Roman"/>
          <w:b/>
          <w:sz w:val="24"/>
          <w:szCs w:val="24"/>
        </w:rPr>
        <w:lastRenderedPageBreak/>
        <w:t>References:</w:t>
      </w:r>
    </w:p>
    <w:p w14:paraId="43439B18" w14:textId="77777777" w:rsidR="00565333" w:rsidRPr="002E2D40" w:rsidRDefault="00565333" w:rsidP="0088119A">
      <w:pPr>
        <w:pStyle w:val="ListParagraph"/>
        <w:numPr>
          <w:ilvl w:val="0"/>
          <w:numId w:val="5"/>
        </w:numPr>
        <w:tabs>
          <w:tab w:val="left" w:pos="8640"/>
        </w:tabs>
        <w:ind w:left="450" w:right="-360"/>
        <w:jc w:val="both"/>
        <w:rPr>
          <w:rFonts w:ascii="Times New Roman" w:hAnsi="Times New Roman" w:cs="Times New Roman"/>
          <w:color w:val="000000" w:themeColor="text1"/>
          <w:sz w:val="24"/>
          <w:szCs w:val="24"/>
        </w:rPr>
      </w:pPr>
      <w:r w:rsidRPr="002E2D40">
        <w:rPr>
          <w:rFonts w:ascii="Times New Roman" w:hAnsi="Times New Roman" w:cs="Times New Roman"/>
          <w:color w:val="000000" w:themeColor="text1"/>
          <w:sz w:val="24"/>
          <w:szCs w:val="24"/>
        </w:rPr>
        <w:t>Remick DG. Pathophysiology of sepsis. Am J Pathol. 2007;170:1435–44.</w:t>
      </w:r>
      <w:bookmarkStart w:id="0" w:name="_Hlk105272405"/>
    </w:p>
    <w:p w14:paraId="13A1AD7B" w14:textId="77777777" w:rsidR="00565333" w:rsidRPr="002E2D40" w:rsidRDefault="00565333" w:rsidP="0088119A">
      <w:pPr>
        <w:pStyle w:val="ListParagraph"/>
        <w:numPr>
          <w:ilvl w:val="0"/>
          <w:numId w:val="5"/>
        </w:numPr>
        <w:tabs>
          <w:tab w:val="left" w:pos="8640"/>
        </w:tabs>
        <w:ind w:left="450" w:right="-360"/>
        <w:jc w:val="both"/>
        <w:rPr>
          <w:rFonts w:ascii="Times New Roman" w:hAnsi="Times New Roman" w:cs="Times New Roman"/>
          <w:color w:val="000000" w:themeColor="text1"/>
          <w:sz w:val="24"/>
          <w:szCs w:val="24"/>
        </w:rPr>
      </w:pPr>
      <w:proofErr w:type="spellStart"/>
      <w:r w:rsidRPr="002E2D40">
        <w:rPr>
          <w:rFonts w:ascii="Times New Roman" w:hAnsi="Times New Roman" w:cs="Times New Roman"/>
          <w:color w:val="000000" w:themeColor="text1"/>
          <w:sz w:val="24"/>
          <w:szCs w:val="24"/>
        </w:rPr>
        <w:t>Berkleyhomehealth.Sepsis</w:t>
      </w:r>
      <w:proofErr w:type="spellEnd"/>
      <w:r w:rsidRPr="002E2D40">
        <w:rPr>
          <w:rFonts w:ascii="Times New Roman" w:hAnsi="Times New Roman" w:cs="Times New Roman"/>
          <w:color w:val="000000" w:themeColor="text1"/>
          <w:sz w:val="24"/>
          <w:szCs w:val="24"/>
        </w:rPr>
        <w:t xml:space="preserve"> care 2022 </w:t>
      </w:r>
      <w:bookmarkEnd w:id="0"/>
    </w:p>
    <w:p w14:paraId="3C88FF48" w14:textId="77777777" w:rsidR="00565333" w:rsidRPr="002E2D40" w:rsidRDefault="00565333" w:rsidP="0088119A">
      <w:pPr>
        <w:pStyle w:val="ListParagraph"/>
        <w:numPr>
          <w:ilvl w:val="0"/>
          <w:numId w:val="5"/>
        </w:numPr>
        <w:tabs>
          <w:tab w:val="left" w:pos="8640"/>
        </w:tabs>
        <w:ind w:left="450" w:right="-360"/>
        <w:jc w:val="both"/>
        <w:rPr>
          <w:rFonts w:ascii="Times New Roman" w:hAnsi="Times New Roman" w:cs="Times New Roman"/>
          <w:color w:val="000000" w:themeColor="text1"/>
          <w:sz w:val="24"/>
          <w:szCs w:val="24"/>
        </w:rPr>
      </w:pPr>
      <w:r w:rsidRPr="002E2D40">
        <w:rPr>
          <w:rFonts w:ascii="Times New Roman" w:hAnsi="Times New Roman" w:cs="Times New Roman"/>
          <w:color w:val="000000" w:themeColor="text1"/>
          <w:sz w:val="24"/>
          <w:szCs w:val="24"/>
        </w:rPr>
        <w:t xml:space="preserve">Singer M, </w:t>
      </w:r>
      <w:proofErr w:type="spellStart"/>
      <w:r w:rsidRPr="002E2D40">
        <w:rPr>
          <w:rFonts w:ascii="Times New Roman" w:hAnsi="Times New Roman" w:cs="Times New Roman"/>
          <w:color w:val="000000" w:themeColor="text1"/>
          <w:sz w:val="24"/>
          <w:szCs w:val="24"/>
        </w:rPr>
        <w:t>Deutschman</w:t>
      </w:r>
      <w:proofErr w:type="spellEnd"/>
      <w:r w:rsidRPr="002E2D40">
        <w:rPr>
          <w:rFonts w:ascii="Times New Roman" w:hAnsi="Times New Roman" w:cs="Times New Roman"/>
          <w:color w:val="000000" w:themeColor="text1"/>
          <w:sz w:val="24"/>
          <w:szCs w:val="24"/>
        </w:rPr>
        <w:t xml:space="preserve"> CS, Seymour CW, et al. The Third International Consensus Definitions for Sepsis and Septic Shock (Sepsis-3).JAMA. 2016;315 (8):801-810. doi:10.1001/jama.2016.0287</w:t>
      </w:r>
    </w:p>
    <w:p w14:paraId="6EB63E73" w14:textId="77777777" w:rsidR="00565333" w:rsidRPr="002E2D40" w:rsidRDefault="00565333" w:rsidP="0088119A">
      <w:pPr>
        <w:pStyle w:val="ListParagraph"/>
        <w:numPr>
          <w:ilvl w:val="0"/>
          <w:numId w:val="5"/>
        </w:numPr>
        <w:tabs>
          <w:tab w:val="left" w:pos="8640"/>
        </w:tabs>
        <w:ind w:left="450" w:right="-360"/>
        <w:jc w:val="both"/>
        <w:rPr>
          <w:rFonts w:ascii="Times New Roman" w:hAnsi="Times New Roman" w:cs="Times New Roman"/>
          <w:color w:val="000000" w:themeColor="text1"/>
          <w:sz w:val="24"/>
          <w:szCs w:val="24"/>
        </w:rPr>
      </w:pPr>
      <w:r w:rsidRPr="002E2D40">
        <w:rPr>
          <w:rFonts w:ascii="Times New Roman" w:hAnsi="Times New Roman" w:cs="Times New Roman"/>
          <w:color w:val="000000" w:themeColor="text1"/>
          <w:sz w:val="24"/>
          <w:szCs w:val="24"/>
        </w:rPr>
        <w:t xml:space="preserve">Liu V, Escobar GJ, Greene JD, et al. Hospital deaths in patients with sepsis from 2 independent </w:t>
      </w:r>
      <w:proofErr w:type="spellStart"/>
      <w:r w:rsidRPr="002E2D40">
        <w:rPr>
          <w:rFonts w:ascii="Times New Roman" w:hAnsi="Times New Roman" w:cs="Times New Roman"/>
          <w:color w:val="000000" w:themeColor="text1"/>
          <w:sz w:val="24"/>
          <w:szCs w:val="24"/>
        </w:rPr>
        <w:t>cohorts.JAMA</w:t>
      </w:r>
      <w:proofErr w:type="spellEnd"/>
      <w:r w:rsidRPr="002E2D40">
        <w:rPr>
          <w:rFonts w:ascii="Times New Roman" w:hAnsi="Times New Roman" w:cs="Times New Roman"/>
          <w:color w:val="000000" w:themeColor="text1"/>
          <w:sz w:val="24"/>
          <w:szCs w:val="24"/>
        </w:rPr>
        <w:t>. 2014;312(1):90-92. doi:10.1001/jama.2014.5804</w:t>
      </w:r>
    </w:p>
    <w:p w14:paraId="6086C50D" w14:textId="77777777" w:rsidR="00565333" w:rsidRDefault="00565333" w:rsidP="0088119A">
      <w:pPr>
        <w:pStyle w:val="ListParagraph"/>
        <w:numPr>
          <w:ilvl w:val="0"/>
          <w:numId w:val="5"/>
        </w:numPr>
        <w:tabs>
          <w:tab w:val="left" w:pos="8640"/>
        </w:tabs>
        <w:ind w:left="450" w:right="-360"/>
        <w:jc w:val="both"/>
        <w:rPr>
          <w:rFonts w:ascii="Times New Roman" w:hAnsi="Times New Roman" w:cs="Times New Roman"/>
          <w:color w:val="000000" w:themeColor="text1"/>
          <w:sz w:val="24"/>
          <w:szCs w:val="24"/>
        </w:rPr>
      </w:pPr>
      <w:r w:rsidRPr="002E2D40">
        <w:rPr>
          <w:rFonts w:ascii="Times New Roman" w:hAnsi="Times New Roman" w:cs="Times New Roman"/>
          <w:color w:val="000000" w:themeColor="text1"/>
          <w:sz w:val="24"/>
          <w:szCs w:val="24"/>
        </w:rPr>
        <w:t xml:space="preserve">Fleischmann C, </w:t>
      </w:r>
      <w:proofErr w:type="spellStart"/>
      <w:r w:rsidRPr="002E2D40">
        <w:rPr>
          <w:rFonts w:ascii="Times New Roman" w:hAnsi="Times New Roman" w:cs="Times New Roman"/>
          <w:color w:val="000000" w:themeColor="text1"/>
          <w:sz w:val="24"/>
          <w:szCs w:val="24"/>
        </w:rPr>
        <w:t>Scherag</w:t>
      </w:r>
      <w:proofErr w:type="spellEnd"/>
      <w:r w:rsidRPr="002E2D40">
        <w:rPr>
          <w:rFonts w:ascii="Times New Roman" w:hAnsi="Times New Roman" w:cs="Times New Roman"/>
          <w:color w:val="000000" w:themeColor="text1"/>
          <w:sz w:val="24"/>
          <w:szCs w:val="24"/>
        </w:rPr>
        <w:t xml:space="preserve"> A, </w:t>
      </w:r>
      <w:proofErr w:type="spellStart"/>
      <w:r w:rsidRPr="002E2D40">
        <w:rPr>
          <w:rFonts w:ascii="Times New Roman" w:hAnsi="Times New Roman" w:cs="Times New Roman"/>
          <w:color w:val="000000" w:themeColor="text1"/>
          <w:sz w:val="24"/>
          <w:szCs w:val="24"/>
        </w:rPr>
        <w:t>Adhikari</w:t>
      </w:r>
      <w:proofErr w:type="spellEnd"/>
      <w:r w:rsidRPr="002E2D40">
        <w:rPr>
          <w:rFonts w:ascii="Times New Roman" w:hAnsi="Times New Roman" w:cs="Times New Roman"/>
          <w:color w:val="000000" w:themeColor="text1"/>
          <w:sz w:val="24"/>
          <w:szCs w:val="24"/>
        </w:rPr>
        <w:t xml:space="preserve"> NKJ, et al; International Forum of Acute Care Trialists. Assessment of global incidence and mortality of hospital-treated sepsis: current estimates and limitations. Am J Respir Crit Care Med. 2016;193(3): 259-272. doi:10.1164/rccm.201504-0781OC</w:t>
      </w:r>
    </w:p>
    <w:p w14:paraId="2D42668E" w14:textId="77777777" w:rsidR="00565333" w:rsidRDefault="00565333" w:rsidP="0088119A">
      <w:pPr>
        <w:pStyle w:val="ListParagraph"/>
        <w:numPr>
          <w:ilvl w:val="0"/>
          <w:numId w:val="5"/>
        </w:numPr>
        <w:tabs>
          <w:tab w:val="left" w:pos="8640"/>
        </w:tabs>
        <w:ind w:left="450" w:right="-360"/>
        <w:jc w:val="both"/>
        <w:rPr>
          <w:rFonts w:ascii="Times New Roman" w:hAnsi="Times New Roman" w:cs="Times New Roman"/>
          <w:color w:val="000000" w:themeColor="text1"/>
          <w:sz w:val="24"/>
          <w:szCs w:val="24"/>
        </w:rPr>
      </w:pPr>
      <w:r w:rsidRPr="00565333">
        <w:rPr>
          <w:rFonts w:ascii="Times New Roman" w:hAnsi="Times New Roman" w:cs="Times New Roman"/>
          <w:color w:val="000000" w:themeColor="text1"/>
          <w:sz w:val="24"/>
          <w:szCs w:val="24"/>
        </w:rPr>
        <w:t xml:space="preserve">Reinhart K, Daniels R, </w:t>
      </w:r>
      <w:proofErr w:type="spellStart"/>
      <w:r w:rsidRPr="00565333">
        <w:rPr>
          <w:rFonts w:ascii="Times New Roman" w:hAnsi="Times New Roman" w:cs="Times New Roman"/>
          <w:color w:val="000000" w:themeColor="text1"/>
          <w:sz w:val="24"/>
          <w:szCs w:val="24"/>
        </w:rPr>
        <w:t>Kissoon</w:t>
      </w:r>
      <w:proofErr w:type="spellEnd"/>
      <w:r w:rsidRPr="00565333">
        <w:rPr>
          <w:rFonts w:ascii="Times New Roman" w:hAnsi="Times New Roman" w:cs="Times New Roman"/>
          <w:color w:val="000000" w:themeColor="text1"/>
          <w:sz w:val="24"/>
          <w:szCs w:val="24"/>
        </w:rPr>
        <w:t xml:space="preserve"> N, et al. Recognizing sepsis as a global health priority - A WHO resolution. N Engl J Med. 2017;377(5):414-417.</w:t>
      </w:r>
    </w:p>
    <w:p w14:paraId="67651F77" w14:textId="77777777" w:rsidR="00565333" w:rsidRPr="002E2D40" w:rsidRDefault="00565333" w:rsidP="0088119A">
      <w:pPr>
        <w:pStyle w:val="ListParagraph"/>
        <w:numPr>
          <w:ilvl w:val="0"/>
          <w:numId w:val="5"/>
        </w:numPr>
        <w:tabs>
          <w:tab w:val="left" w:pos="8640"/>
        </w:tabs>
        <w:ind w:left="450" w:right="-360"/>
        <w:jc w:val="both"/>
        <w:rPr>
          <w:rFonts w:ascii="Times New Roman" w:hAnsi="Times New Roman" w:cs="Times New Roman"/>
          <w:color w:val="000000" w:themeColor="text1"/>
          <w:sz w:val="24"/>
          <w:szCs w:val="24"/>
        </w:rPr>
      </w:pPr>
      <w:r w:rsidRPr="002E2D40">
        <w:rPr>
          <w:rFonts w:ascii="Times New Roman" w:hAnsi="Times New Roman" w:cs="Times New Roman"/>
          <w:color w:val="000000" w:themeColor="text1"/>
          <w:sz w:val="24"/>
          <w:szCs w:val="24"/>
        </w:rPr>
        <w:t xml:space="preserve">Martin GS, </w:t>
      </w:r>
      <w:proofErr w:type="spellStart"/>
      <w:r w:rsidRPr="002E2D40">
        <w:rPr>
          <w:rFonts w:ascii="Times New Roman" w:hAnsi="Times New Roman" w:cs="Times New Roman"/>
          <w:color w:val="000000" w:themeColor="text1"/>
          <w:sz w:val="24"/>
          <w:szCs w:val="24"/>
        </w:rPr>
        <w:t>Mannino</w:t>
      </w:r>
      <w:proofErr w:type="spellEnd"/>
      <w:r w:rsidRPr="002E2D40">
        <w:rPr>
          <w:rFonts w:ascii="Times New Roman" w:hAnsi="Times New Roman" w:cs="Times New Roman"/>
          <w:color w:val="000000" w:themeColor="text1"/>
          <w:sz w:val="24"/>
          <w:szCs w:val="24"/>
        </w:rPr>
        <w:t xml:space="preserve"> DM, Eaton S, Moss M. The epidemiology of sepsis in the United States from 1979 through 2000. N Engl J Med. 2003;348:1546–54.</w:t>
      </w:r>
    </w:p>
    <w:p w14:paraId="2D74F5D1" w14:textId="77777777" w:rsidR="00565333" w:rsidRDefault="00565333" w:rsidP="0088119A">
      <w:pPr>
        <w:pStyle w:val="ListParagraph"/>
        <w:numPr>
          <w:ilvl w:val="0"/>
          <w:numId w:val="5"/>
        </w:numPr>
        <w:tabs>
          <w:tab w:val="left" w:pos="8640"/>
        </w:tabs>
        <w:ind w:left="450" w:right="-360"/>
        <w:jc w:val="both"/>
        <w:rPr>
          <w:rFonts w:ascii="Times New Roman" w:hAnsi="Times New Roman" w:cs="Times New Roman"/>
          <w:color w:val="000000" w:themeColor="text1"/>
          <w:sz w:val="24"/>
          <w:szCs w:val="24"/>
        </w:rPr>
      </w:pPr>
      <w:r w:rsidRPr="002E2D40">
        <w:rPr>
          <w:rFonts w:ascii="Times New Roman" w:hAnsi="Times New Roman" w:cs="Times New Roman"/>
          <w:color w:val="000000" w:themeColor="text1"/>
          <w:sz w:val="24"/>
          <w:szCs w:val="24"/>
        </w:rPr>
        <w:t>Angus DC, van der Poll T. Severe sepsis and septic shock. N Engl J Med. 013;369:2063.</w:t>
      </w:r>
    </w:p>
    <w:p w14:paraId="7B0727BE" w14:textId="77777777" w:rsidR="00565333" w:rsidRPr="00565333" w:rsidRDefault="00565333" w:rsidP="0088119A">
      <w:pPr>
        <w:pStyle w:val="ListParagraph"/>
        <w:numPr>
          <w:ilvl w:val="0"/>
          <w:numId w:val="5"/>
        </w:numPr>
        <w:tabs>
          <w:tab w:val="left" w:pos="8640"/>
        </w:tabs>
        <w:ind w:left="450" w:right="-360"/>
        <w:jc w:val="both"/>
        <w:rPr>
          <w:rFonts w:ascii="Times New Roman" w:hAnsi="Times New Roman" w:cs="Times New Roman"/>
          <w:color w:val="000000" w:themeColor="text1"/>
          <w:sz w:val="24"/>
          <w:szCs w:val="24"/>
        </w:rPr>
      </w:pPr>
      <w:proofErr w:type="spellStart"/>
      <w:r w:rsidRPr="00565333">
        <w:rPr>
          <w:rFonts w:ascii="Times New Roman" w:hAnsi="Times New Roman" w:cs="Times New Roman"/>
          <w:color w:val="000000" w:themeColor="text1"/>
          <w:sz w:val="24"/>
          <w:szCs w:val="24"/>
        </w:rPr>
        <w:t>Gabbe</w:t>
      </w:r>
      <w:proofErr w:type="spellEnd"/>
      <w:r w:rsidRPr="00565333">
        <w:rPr>
          <w:rFonts w:ascii="Times New Roman" w:hAnsi="Times New Roman" w:cs="Times New Roman"/>
          <w:color w:val="000000" w:themeColor="text1"/>
          <w:sz w:val="24"/>
          <w:szCs w:val="24"/>
        </w:rPr>
        <w:t xml:space="preserve"> E. </w:t>
      </w:r>
      <w:proofErr w:type="spellStart"/>
      <w:r w:rsidRPr="00565333">
        <w:rPr>
          <w:rFonts w:ascii="Times New Roman" w:hAnsi="Times New Roman" w:cs="Times New Roman"/>
          <w:color w:val="000000" w:themeColor="text1"/>
          <w:sz w:val="24"/>
          <w:szCs w:val="24"/>
        </w:rPr>
        <w:t>Bestimmung</w:t>
      </w:r>
      <w:proofErr w:type="spellEnd"/>
      <w:r w:rsidRPr="00565333">
        <w:rPr>
          <w:rFonts w:ascii="Times New Roman" w:hAnsi="Times New Roman" w:cs="Times New Roman"/>
          <w:color w:val="000000" w:themeColor="text1"/>
          <w:sz w:val="24"/>
          <w:szCs w:val="24"/>
        </w:rPr>
        <w:t xml:space="preserve"> von Vitamin C </w:t>
      </w:r>
      <w:proofErr w:type="spellStart"/>
      <w:r w:rsidRPr="00565333">
        <w:rPr>
          <w:rFonts w:ascii="Times New Roman" w:hAnsi="Times New Roman" w:cs="Times New Roman"/>
          <w:color w:val="000000" w:themeColor="text1"/>
          <w:sz w:val="24"/>
          <w:szCs w:val="24"/>
        </w:rPr>
        <w:t>im</w:t>
      </w:r>
      <w:proofErr w:type="spellEnd"/>
      <w:r w:rsidRPr="00565333">
        <w:rPr>
          <w:rFonts w:ascii="Times New Roman" w:hAnsi="Times New Roman" w:cs="Times New Roman"/>
          <w:color w:val="000000" w:themeColor="text1"/>
          <w:sz w:val="24"/>
          <w:szCs w:val="24"/>
        </w:rPr>
        <w:t xml:space="preserve"> </w:t>
      </w:r>
      <w:proofErr w:type="spellStart"/>
      <w:r w:rsidRPr="00565333">
        <w:rPr>
          <w:rFonts w:ascii="Times New Roman" w:hAnsi="Times New Roman" w:cs="Times New Roman"/>
          <w:color w:val="000000" w:themeColor="text1"/>
          <w:sz w:val="24"/>
          <w:szCs w:val="24"/>
        </w:rPr>
        <w:t>Blutserum</w:t>
      </w:r>
      <w:proofErr w:type="spellEnd"/>
      <w:r w:rsidRPr="00565333">
        <w:rPr>
          <w:rFonts w:ascii="Times New Roman" w:hAnsi="Times New Roman" w:cs="Times New Roman"/>
          <w:color w:val="000000" w:themeColor="text1"/>
          <w:sz w:val="24"/>
          <w:szCs w:val="24"/>
        </w:rPr>
        <w:t>. Klin Wochenschr. 1934; 13:1389–92.</w:t>
      </w:r>
    </w:p>
    <w:p w14:paraId="5C8C958A" w14:textId="77777777" w:rsidR="00565333" w:rsidRPr="00565333" w:rsidRDefault="00565333" w:rsidP="0088119A">
      <w:pPr>
        <w:pStyle w:val="ListParagraph"/>
        <w:numPr>
          <w:ilvl w:val="0"/>
          <w:numId w:val="5"/>
        </w:numPr>
        <w:tabs>
          <w:tab w:val="left" w:pos="8640"/>
        </w:tabs>
        <w:ind w:left="450" w:right="-360"/>
        <w:jc w:val="both"/>
        <w:rPr>
          <w:rFonts w:ascii="Times New Roman" w:hAnsi="Times New Roman" w:cs="Times New Roman"/>
          <w:color w:val="000000" w:themeColor="text1"/>
          <w:sz w:val="24"/>
          <w:szCs w:val="24"/>
        </w:rPr>
      </w:pPr>
      <w:r w:rsidRPr="00565333">
        <w:rPr>
          <w:rFonts w:ascii="Times New Roman" w:hAnsi="Times New Roman" w:cs="Times New Roman"/>
          <w:color w:val="000000" w:themeColor="text1"/>
          <w:sz w:val="24"/>
          <w:szCs w:val="24"/>
        </w:rPr>
        <w:t xml:space="preserve">  Nakano K, Suzuki S. Stress-induced change in tissue levels of ascorbic acid and histamine in rats. J </w:t>
      </w:r>
      <w:proofErr w:type="spellStart"/>
      <w:r w:rsidRPr="00565333">
        <w:rPr>
          <w:rFonts w:ascii="Times New Roman" w:hAnsi="Times New Roman" w:cs="Times New Roman"/>
          <w:color w:val="000000" w:themeColor="text1"/>
          <w:sz w:val="24"/>
          <w:szCs w:val="24"/>
        </w:rPr>
        <w:t>Nutr</w:t>
      </w:r>
      <w:proofErr w:type="spellEnd"/>
      <w:r w:rsidRPr="00565333">
        <w:rPr>
          <w:rFonts w:ascii="Times New Roman" w:hAnsi="Times New Roman" w:cs="Times New Roman"/>
          <w:color w:val="000000" w:themeColor="text1"/>
          <w:sz w:val="24"/>
          <w:szCs w:val="24"/>
        </w:rPr>
        <w:t>. 1984; 114:1602–8. [PubMed: 6206215]</w:t>
      </w:r>
    </w:p>
    <w:p w14:paraId="1851B02B" w14:textId="77777777" w:rsidR="00565333" w:rsidRPr="00565333" w:rsidRDefault="00565333" w:rsidP="0088119A">
      <w:pPr>
        <w:pStyle w:val="ListParagraph"/>
        <w:numPr>
          <w:ilvl w:val="0"/>
          <w:numId w:val="5"/>
        </w:numPr>
        <w:tabs>
          <w:tab w:val="left" w:pos="8640"/>
        </w:tabs>
        <w:ind w:left="450" w:right="-360"/>
        <w:jc w:val="both"/>
        <w:rPr>
          <w:rFonts w:ascii="Times New Roman" w:hAnsi="Times New Roman" w:cs="Times New Roman"/>
          <w:color w:val="000000" w:themeColor="text1"/>
          <w:sz w:val="24"/>
          <w:szCs w:val="24"/>
        </w:rPr>
      </w:pPr>
      <w:r w:rsidRPr="00565333">
        <w:rPr>
          <w:rFonts w:ascii="Times New Roman" w:hAnsi="Times New Roman" w:cs="Times New Roman"/>
          <w:color w:val="000000" w:themeColor="text1"/>
          <w:sz w:val="24"/>
          <w:szCs w:val="24"/>
        </w:rPr>
        <w:t xml:space="preserve">  Institute of Medicine Panel on Dietary Antioxidants and Related Compounds. Dietary reference intakes for vitamin C, vitamin E, selenium, and Carotenoids. Washington, DC: National Academies Press; 2000.</w:t>
      </w:r>
    </w:p>
    <w:p w14:paraId="10E01DB7" w14:textId="77777777" w:rsidR="00565333" w:rsidRPr="00565333" w:rsidRDefault="00565333" w:rsidP="0088119A">
      <w:pPr>
        <w:pStyle w:val="ListParagraph"/>
        <w:numPr>
          <w:ilvl w:val="0"/>
          <w:numId w:val="5"/>
        </w:numPr>
        <w:tabs>
          <w:tab w:val="left" w:pos="8640"/>
        </w:tabs>
        <w:ind w:left="450" w:right="-360"/>
        <w:jc w:val="both"/>
        <w:rPr>
          <w:rFonts w:ascii="Times New Roman" w:hAnsi="Times New Roman" w:cs="Times New Roman"/>
          <w:color w:val="000000" w:themeColor="text1"/>
          <w:sz w:val="24"/>
          <w:szCs w:val="24"/>
        </w:rPr>
      </w:pPr>
      <w:r w:rsidRPr="00565333">
        <w:rPr>
          <w:rFonts w:ascii="Times New Roman" w:hAnsi="Times New Roman" w:cs="Times New Roman"/>
          <w:color w:val="000000" w:themeColor="text1"/>
          <w:sz w:val="24"/>
          <w:szCs w:val="24"/>
        </w:rPr>
        <w:t xml:space="preserve">New reference values for vitamin C intake. Ann </w:t>
      </w:r>
      <w:proofErr w:type="spellStart"/>
      <w:r w:rsidRPr="00565333">
        <w:rPr>
          <w:rFonts w:ascii="Times New Roman" w:hAnsi="Times New Roman" w:cs="Times New Roman"/>
          <w:color w:val="000000" w:themeColor="text1"/>
          <w:sz w:val="24"/>
          <w:szCs w:val="24"/>
        </w:rPr>
        <w:t>Nutr</w:t>
      </w:r>
      <w:proofErr w:type="spellEnd"/>
      <w:r w:rsidRPr="00565333">
        <w:rPr>
          <w:rFonts w:ascii="Times New Roman" w:hAnsi="Times New Roman" w:cs="Times New Roman"/>
          <w:color w:val="000000" w:themeColor="text1"/>
          <w:sz w:val="24"/>
          <w:szCs w:val="24"/>
        </w:rPr>
        <w:t xml:space="preserve"> </w:t>
      </w:r>
      <w:proofErr w:type="spellStart"/>
      <w:r w:rsidRPr="00565333">
        <w:rPr>
          <w:rFonts w:ascii="Times New Roman" w:hAnsi="Times New Roman" w:cs="Times New Roman"/>
          <w:color w:val="000000" w:themeColor="text1"/>
          <w:sz w:val="24"/>
          <w:szCs w:val="24"/>
        </w:rPr>
        <w:t>Metab</w:t>
      </w:r>
      <w:proofErr w:type="spellEnd"/>
      <w:r w:rsidRPr="00565333">
        <w:rPr>
          <w:rFonts w:ascii="Times New Roman" w:hAnsi="Times New Roman" w:cs="Times New Roman"/>
          <w:color w:val="000000" w:themeColor="text1"/>
          <w:sz w:val="24"/>
          <w:szCs w:val="24"/>
        </w:rPr>
        <w:t xml:space="preserve"> 2015;67:13–20.</w:t>
      </w:r>
    </w:p>
    <w:p w14:paraId="00E0C2E3" w14:textId="77777777" w:rsidR="00565333" w:rsidRPr="00565333" w:rsidRDefault="00565333" w:rsidP="0088119A">
      <w:pPr>
        <w:pStyle w:val="ListParagraph"/>
        <w:numPr>
          <w:ilvl w:val="0"/>
          <w:numId w:val="5"/>
        </w:numPr>
        <w:tabs>
          <w:tab w:val="left" w:pos="8640"/>
        </w:tabs>
        <w:ind w:left="450" w:right="-360"/>
        <w:jc w:val="both"/>
        <w:rPr>
          <w:rFonts w:ascii="Times New Roman" w:hAnsi="Times New Roman" w:cs="Times New Roman"/>
          <w:color w:val="000000" w:themeColor="text1"/>
          <w:sz w:val="24"/>
          <w:szCs w:val="24"/>
        </w:rPr>
      </w:pPr>
      <w:r w:rsidRPr="00565333">
        <w:rPr>
          <w:rFonts w:ascii="Times New Roman" w:hAnsi="Times New Roman" w:cs="Times New Roman"/>
          <w:color w:val="000000" w:themeColor="text1"/>
          <w:sz w:val="24"/>
          <w:szCs w:val="24"/>
        </w:rPr>
        <w:t xml:space="preserve">  Berger MM. Vitamin C, requirements in parenteral nutrition. Gastroenterology. 2009;137:S70–8.</w:t>
      </w:r>
    </w:p>
    <w:p w14:paraId="49A123EE" w14:textId="77777777" w:rsidR="00565333" w:rsidRPr="00565333" w:rsidRDefault="00565333" w:rsidP="0088119A">
      <w:pPr>
        <w:pStyle w:val="ListParagraph"/>
        <w:numPr>
          <w:ilvl w:val="0"/>
          <w:numId w:val="5"/>
        </w:numPr>
        <w:tabs>
          <w:tab w:val="left" w:pos="8640"/>
        </w:tabs>
        <w:ind w:left="450" w:right="-360"/>
        <w:jc w:val="both"/>
        <w:rPr>
          <w:rFonts w:ascii="Times New Roman" w:hAnsi="Times New Roman" w:cs="Times New Roman"/>
          <w:color w:val="000000" w:themeColor="text1"/>
          <w:sz w:val="24"/>
          <w:szCs w:val="24"/>
        </w:rPr>
      </w:pPr>
      <w:r w:rsidRPr="00565333">
        <w:rPr>
          <w:rFonts w:ascii="Times New Roman" w:hAnsi="Times New Roman" w:cs="Times New Roman"/>
          <w:color w:val="000000" w:themeColor="text1"/>
          <w:sz w:val="24"/>
          <w:szCs w:val="24"/>
        </w:rPr>
        <w:t xml:space="preserve">  Long CL, </w:t>
      </w:r>
      <w:proofErr w:type="spellStart"/>
      <w:r w:rsidRPr="00565333">
        <w:rPr>
          <w:rFonts w:ascii="Times New Roman" w:hAnsi="Times New Roman" w:cs="Times New Roman"/>
          <w:color w:val="000000" w:themeColor="text1"/>
          <w:sz w:val="24"/>
          <w:szCs w:val="24"/>
        </w:rPr>
        <w:t>Maull</w:t>
      </w:r>
      <w:proofErr w:type="spellEnd"/>
      <w:r w:rsidRPr="00565333">
        <w:rPr>
          <w:rFonts w:ascii="Times New Roman" w:hAnsi="Times New Roman" w:cs="Times New Roman"/>
          <w:color w:val="000000" w:themeColor="text1"/>
          <w:sz w:val="24"/>
          <w:szCs w:val="24"/>
        </w:rPr>
        <w:t xml:space="preserve"> KL, </w:t>
      </w:r>
      <w:proofErr w:type="spellStart"/>
      <w:r w:rsidRPr="00565333">
        <w:rPr>
          <w:rFonts w:ascii="Times New Roman" w:hAnsi="Times New Roman" w:cs="Times New Roman"/>
          <w:color w:val="000000" w:themeColor="text1"/>
          <w:sz w:val="24"/>
          <w:szCs w:val="24"/>
        </w:rPr>
        <w:t>Krishman</w:t>
      </w:r>
      <w:proofErr w:type="spellEnd"/>
      <w:r w:rsidRPr="00565333">
        <w:rPr>
          <w:rFonts w:ascii="Times New Roman" w:hAnsi="Times New Roman" w:cs="Times New Roman"/>
          <w:color w:val="000000" w:themeColor="text1"/>
          <w:sz w:val="24"/>
          <w:szCs w:val="24"/>
        </w:rPr>
        <w:t xml:space="preserve"> RS et al. Ascorbic acid dynamics in the seriously ill and injured. J Surg Res 2003; 109(2):144-148.</w:t>
      </w:r>
    </w:p>
    <w:p w14:paraId="45EC3468" w14:textId="77777777" w:rsidR="00565333" w:rsidRPr="00565333" w:rsidRDefault="00565333" w:rsidP="0088119A">
      <w:pPr>
        <w:pStyle w:val="ListParagraph"/>
        <w:numPr>
          <w:ilvl w:val="0"/>
          <w:numId w:val="5"/>
        </w:numPr>
        <w:tabs>
          <w:tab w:val="left" w:pos="8640"/>
        </w:tabs>
        <w:ind w:left="450" w:right="-360"/>
        <w:jc w:val="both"/>
        <w:rPr>
          <w:rFonts w:ascii="Times New Roman" w:hAnsi="Times New Roman" w:cs="Times New Roman"/>
          <w:color w:val="000000" w:themeColor="text1"/>
          <w:sz w:val="24"/>
          <w:szCs w:val="24"/>
        </w:rPr>
      </w:pPr>
      <w:r w:rsidRPr="00565333">
        <w:rPr>
          <w:rFonts w:ascii="Times New Roman" w:hAnsi="Times New Roman" w:cs="Times New Roman"/>
          <w:color w:val="000000" w:themeColor="text1"/>
          <w:sz w:val="24"/>
          <w:szCs w:val="24"/>
        </w:rPr>
        <w:t xml:space="preserve">  de </w:t>
      </w:r>
      <w:proofErr w:type="spellStart"/>
      <w:r w:rsidRPr="00565333">
        <w:rPr>
          <w:rFonts w:ascii="Times New Roman" w:hAnsi="Times New Roman" w:cs="Times New Roman"/>
          <w:color w:val="000000" w:themeColor="text1"/>
          <w:sz w:val="24"/>
          <w:szCs w:val="24"/>
        </w:rPr>
        <w:t>Grooth</w:t>
      </w:r>
      <w:proofErr w:type="spellEnd"/>
      <w:r w:rsidRPr="00565333">
        <w:rPr>
          <w:rFonts w:ascii="Times New Roman" w:hAnsi="Times New Roman" w:cs="Times New Roman"/>
          <w:color w:val="000000" w:themeColor="text1"/>
          <w:sz w:val="24"/>
          <w:szCs w:val="24"/>
        </w:rPr>
        <w:t xml:space="preserve"> HJ, Choo WP, Spoelstra-de Man AM et al. Pharmacokinetics of four high-dose regimens of intravenous Vitamin C in critically ill patients [Abstract]. Intensive Care Med 2016.</w:t>
      </w:r>
    </w:p>
    <w:p w14:paraId="11A36202" w14:textId="77777777" w:rsidR="00565333" w:rsidRPr="00565333" w:rsidRDefault="00565333" w:rsidP="0088119A">
      <w:pPr>
        <w:pStyle w:val="ListParagraph"/>
        <w:numPr>
          <w:ilvl w:val="0"/>
          <w:numId w:val="5"/>
        </w:numPr>
        <w:tabs>
          <w:tab w:val="left" w:pos="8640"/>
        </w:tabs>
        <w:ind w:left="450" w:right="-360"/>
        <w:jc w:val="both"/>
        <w:rPr>
          <w:rFonts w:ascii="Times New Roman" w:hAnsi="Times New Roman" w:cs="Times New Roman"/>
          <w:color w:val="000000" w:themeColor="text1"/>
          <w:sz w:val="24"/>
          <w:szCs w:val="24"/>
        </w:rPr>
      </w:pPr>
      <w:r w:rsidRPr="00565333">
        <w:rPr>
          <w:rFonts w:ascii="Times New Roman" w:hAnsi="Times New Roman" w:cs="Times New Roman"/>
          <w:color w:val="000000" w:themeColor="text1"/>
          <w:sz w:val="24"/>
          <w:szCs w:val="24"/>
        </w:rPr>
        <w:t xml:space="preserve">  </w:t>
      </w:r>
      <w:proofErr w:type="spellStart"/>
      <w:r w:rsidRPr="00565333">
        <w:rPr>
          <w:rFonts w:ascii="Times New Roman" w:hAnsi="Times New Roman" w:cs="Times New Roman"/>
          <w:color w:val="000000" w:themeColor="text1"/>
          <w:sz w:val="24"/>
          <w:szCs w:val="24"/>
        </w:rPr>
        <w:t>Schorah</w:t>
      </w:r>
      <w:proofErr w:type="spellEnd"/>
      <w:r w:rsidRPr="00565333">
        <w:rPr>
          <w:rFonts w:ascii="Times New Roman" w:hAnsi="Times New Roman" w:cs="Times New Roman"/>
          <w:color w:val="000000" w:themeColor="text1"/>
          <w:sz w:val="24"/>
          <w:szCs w:val="24"/>
        </w:rPr>
        <w:t xml:space="preserve"> CJ, Downing C, </w:t>
      </w:r>
      <w:proofErr w:type="spellStart"/>
      <w:r w:rsidRPr="00565333">
        <w:rPr>
          <w:rFonts w:ascii="Times New Roman" w:hAnsi="Times New Roman" w:cs="Times New Roman"/>
          <w:color w:val="000000" w:themeColor="text1"/>
          <w:sz w:val="24"/>
          <w:szCs w:val="24"/>
        </w:rPr>
        <w:t>Piripitsi</w:t>
      </w:r>
      <w:proofErr w:type="spellEnd"/>
      <w:r w:rsidRPr="00565333">
        <w:rPr>
          <w:rFonts w:ascii="Times New Roman" w:hAnsi="Times New Roman" w:cs="Times New Roman"/>
          <w:color w:val="000000" w:themeColor="text1"/>
          <w:sz w:val="24"/>
          <w:szCs w:val="24"/>
        </w:rPr>
        <w:t xml:space="preserve"> A, </w:t>
      </w:r>
      <w:proofErr w:type="spellStart"/>
      <w:r w:rsidRPr="00565333">
        <w:rPr>
          <w:rFonts w:ascii="Times New Roman" w:hAnsi="Times New Roman" w:cs="Times New Roman"/>
          <w:color w:val="000000" w:themeColor="text1"/>
          <w:sz w:val="24"/>
          <w:szCs w:val="24"/>
        </w:rPr>
        <w:t>Gallivan</w:t>
      </w:r>
      <w:proofErr w:type="spellEnd"/>
      <w:r w:rsidRPr="00565333">
        <w:rPr>
          <w:rFonts w:ascii="Times New Roman" w:hAnsi="Times New Roman" w:cs="Times New Roman"/>
          <w:color w:val="000000" w:themeColor="text1"/>
          <w:sz w:val="24"/>
          <w:szCs w:val="24"/>
        </w:rPr>
        <w:t xml:space="preserve"> L, Al-</w:t>
      </w:r>
      <w:proofErr w:type="spellStart"/>
      <w:r w:rsidRPr="00565333">
        <w:rPr>
          <w:rFonts w:ascii="Times New Roman" w:hAnsi="Times New Roman" w:cs="Times New Roman"/>
          <w:color w:val="000000" w:themeColor="text1"/>
          <w:sz w:val="24"/>
          <w:szCs w:val="24"/>
        </w:rPr>
        <w:t>Hazaa</w:t>
      </w:r>
      <w:proofErr w:type="spellEnd"/>
      <w:r w:rsidRPr="00565333">
        <w:rPr>
          <w:rFonts w:ascii="Times New Roman" w:hAnsi="Times New Roman" w:cs="Times New Roman"/>
          <w:color w:val="000000" w:themeColor="text1"/>
          <w:sz w:val="24"/>
          <w:szCs w:val="24"/>
        </w:rPr>
        <w:t xml:space="preserve"> AH, Sanderson MJ, </w:t>
      </w:r>
      <w:proofErr w:type="spellStart"/>
      <w:r w:rsidRPr="00565333">
        <w:rPr>
          <w:rFonts w:ascii="Times New Roman" w:hAnsi="Times New Roman" w:cs="Times New Roman"/>
          <w:color w:val="000000" w:themeColor="text1"/>
          <w:sz w:val="24"/>
          <w:szCs w:val="24"/>
        </w:rPr>
        <w:t>Bodenham</w:t>
      </w:r>
      <w:proofErr w:type="spellEnd"/>
      <w:r w:rsidRPr="00565333">
        <w:rPr>
          <w:rFonts w:ascii="Times New Roman" w:hAnsi="Times New Roman" w:cs="Times New Roman"/>
          <w:color w:val="000000" w:themeColor="text1"/>
          <w:sz w:val="24"/>
          <w:szCs w:val="24"/>
        </w:rPr>
        <w:t xml:space="preserve"> A: Total vitamin C, ascorbic acid, and dehydroascorbic acid concentrations in plasma of critically ill patients. Am J </w:t>
      </w:r>
      <w:proofErr w:type="spellStart"/>
      <w:r w:rsidRPr="00565333">
        <w:rPr>
          <w:rFonts w:ascii="Times New Roman" w:hAnsi="Times New Roman" w:cs="Times New Roman"/>
          <w:color w:val="000000" w:themeColor="text1"/>
          <w:sz w:val="24"/>
          <w:szCs w:val="24"/>
        </w:rPr>
        <w:t>Clin</w:t>
      </w:r>
      <w:proofErr w:type="spellEnd"/>
      <w:r w:rsidRPr="00565333">
        <w:rPr>
          <w:rFonts w:ascii="Times New Roman" w:hAnsi="Times New Roman" w:cs="Times New Roman"/>
          <w:color w:val="000000" w:themeColor="text1"/>
          <w:sz w:val="24"/>
          <w:szCs w:val="24"/>
        </w:rPr>
        <w:t xml:space="preserve"> </w:t>
      </w:r>
      <w:proofErr w:type="spellStart"/>
      <w:r w:rsidRPr="00565333">
        <w:rPr>
          <w:rFonts w:ascii="Times New Roman" w:hAnsi="Times New Roman" w:cs="Times New Roman"/>
          <w:color w:val="000000" w:themeColor="text1"/>
          <w:sz w:val="24"/>
          <w:szCs w:val="24"/>
        </w:rPr>
        <w:t>Nutr</w:t>
      </w:r>
      <w:proofErr w:type="spellEnd"/>
      <w:r w:rsidRPr="00565333">
        <w:rPr>
          <w:rFonts w:ascii="Times New Roman" w:hAnsi="Times New Roman" w:cs="Times New Roman"/>
          <w:color w:val="000000" w:themeColor="text1"/>
          <w:sz w:val="24"/>
          <w:szCs w:val="24"/>
        </w:rPr>
        <w:t xml:space="preserve"> 1996, 63:760–765.</w:t>
      </w:r>
    </w:p>
    <w:p w14:paraId="43F3B39A" w14:textId="77777777" w:rsidR="00565333" w:rsidRPr="00565333" w:rsidRDefault="00565333" w:rsidP="0088119A">
      <w:pPr>
        <w:pStyle w:val="ListParagraph"/>
        <w:numPr>
          <w:ilvl w:val="0"/>
          <w:numId w:val="5"/>
        </w:numPr>
        <w:tabs>
          <w:tab w:val="left" w:pos="8640"/>
        </w:tabs>
        <w:ind w:left="450" w:right="-360"/>
        <w:jc w:val="both"/>
        <w:rPr>
          <w:rFonts w:ascii="Times New Roman" w:hAnsi="Times New Roman" w:cs="Times New Roman"/>
          <w:color w:val="000000" w:themeColor="text1"/>
          <w:sz w:val="24"/>
          <w:szCs w:val="24"/>
        </w:rPr>
      </w:pPr>
      <w:r w:rsidRPr="00565333">
        <w:rPr>
          <w:rFonts w:ascii="Times New Roman" w:hAnsi="Times New Roman" w:cs="Times New Roman"/>
          <w:color w:val="000000" w:themeColor="text1"/>
          <w:sz w:val="24"/>
          <w:szCs w:val="24"/>
        </w:rPr>
        <w:t xml:space="preserve">  Fisher BJ, </w:t>
      </w:r>
      <w:proofErr w:type="spellStart"/>
      <w:r w:rsidRPr="00565333">
        <w:rPr>
          <w:rFonts w:ascii="Times New Roman" w:hAnsi="Times New Roman" w:cs="Times New Roman"/>
          <w:color w:val="000000" w:themeColor="text1"/>
          <w:sz w:val="24"/>
          <w:szCs w:val="24"/>
        </w:rPr>
        <w:t>Kraskauskas</w:t>
      </w:r>
      <w:proofErr w:type="spellEnd"/>
      <w:r w:rsidRPr="00565333">
        <w:rPr>
          <w:rFonts w:ascii="Times New Roman" w:hAnsi="Times New Roman" w:cs="Times New Roman"/>
          <w:color w:val="000000" w:themeColor="text1"/>
          <w:sz w:val="24"/>
          <w:szCs w:val="24"/>
        </w:rPr>
        <w:t xml:space="preserve"> D, Martin EJ, </w:t>
      </w:r>
      <w:proofErr w:type="spellStart"/>
      <w:r w:rsidRPr="00565333">
        <w:rPr>
          <w:rFonts w:ascii="Times New Roman" w:hAnsi="Times New Roman" w:cs="Times New Roman"/>
          <w:color w:val="000000" w:themeColor="text1"/>
          <w:sz w:val="24"/>
          <w:szCs w:val="24"/>
        </w:rPr>
        <w:t>Farkas</w:t>
      </w:r>
      <w:proofErr w:type="spellEnd"/>
      <w:r w:rsidRPr="00565333">
        <w:rPr>
          <w:rFonts w:ascii="Times New Roman" w:hAnsi="Times New Roman" w:cs="Times New Roman"/>
          <w:color w:val="000000" w:themeColor="text1"/>
          <w:sz w:val="24"/>
          <w:szCs w:val="24"/>
        </w:rPr>
        <w:t xml:space="preserve"> D, </w:t>
      </w:r>
      <w:proofErr w:type="spellStart"/>
      <w:r w:rsidRPr="00565333">
        <w:rPr>
          <w:rFonts w:ascii="Times New Roman" w:hAnsi="Times New Roman" w:cs="Times New Roman"/>
          <w:color w:val="000000" w:themeColor="text1"/>
          <w:sz w:val="24"/>
          <w:szCs w:val="24"/>
        </w:rPr>
        <w:t>Wegelin</w:t>
      </w:r>
      <w:proofErr w:type="spellEnd"/>
      <w:r w:rsidRPr="00565333">
        <w:rPr>
          <w:rFonts w:ascii="Times New Roman" w:hAnsi="Times New Roman" w:cs="Times New Roman"/>
          <w:color w:val="000000" w:themeColor="text1"/>
          <w:sz w:val="24"/>
          <w:szCs w:val="24"/>
        </w:rPr>
        <w:t xml:space="preserve"> JA, </w:t>
      </w:r>
      <w:proofErr w:type="spellStart"/>
      <w:r w:rsidRPr="00565333">
        <w:rPr>
          <w:rFonts w:ascii="Times New Roman" w:hAnsi="Times New Roman" w:cs="Times New Roman"/>
          <w:color w:val="000000" w:themeColor="text1"/>
          <w:sz w:val="24"/>
          <w:szCs w:val="24"/>
        </w:rPr>
        <w:t>Brophy</w:t>
      </w:r>
      <w:proofErr w:type="spellEnd"/>
      <w:r w:rsidRPr="00565333">
        <w:rPr>
          <w:rFonts w:ascii="Times New Roman" w:hAnsi="Times New Roman" w:cs="Times New Roman"/>
          <w:color w:val="000000" w:themeColor="text1"/>
          <w:sz w:val="24"/>
          <w:szCs w:val="24"/>
        </w:rPr>
        <w:t xml:space="preserve"> D, Ward KR, </w:t>
      </w:r>
      <w:proofErr w:type="spellStart"/>
      <w:r w:rsidRPr="00565333">
        <w:rPr>
          <w:rFonts w:ascii="Times New Roman" w:hAnsi="Times New Roman" w:cs="Times New Roman"/>
          <w:color w:val="000000" w:themeColor="text1"/>
          <w:sz w:val="24"/>
          <w:szCs w:val="24"/>
        </w:rPr>
        <w:t>Voelkel</w:t>
      </w:r>
      <w:proofErr w:type="spellEnd"/>
      <w:r w:rsidRPr="00565333">
        <w:rPr>
          <w:rFonts w:ascii="Times New Roman" w:hAnsi="Times New Roman" w:cs="Times New Roman"/>
          <w:color w:val="000000" w:themeColor="text1"/>
          <w:sz w:val="24"/>
          <w:szCs w:val="24"/>
        </w:rPr>
        <w:t xml:space="preserve"> NF, Fowler AA III, Natarajan R: Mechanisms of attenuation of abdominal sepsis induced acute lung injury by ascorbic acid. Am J Physiol Lung Cell Mol Physiol 2012, 303:L20–L32.</w:t>
      </w:r>
    </w:p>
    <w:p w14:paraId="773E02B8" w14:textId="77777777" w:rsidR="00565333" w:rsidRPr="00565333" w:rsidRDefault="00565333" w:rsidP="0088119A">
      <w:pPr>
        <w:pStyle w:val="ListParagraph"/>
        <w:numPr>
          <w:ilvl w:val="0"/>
          <w:numId w:val="5"/>
        </w:numPr>
        <w:tabs>
          <w:tab w:val="left" w:pos="8640"/>
        </w:tabs>
        <w:ind w:left="450" w:right="-360"/>
        <w:jc w:val="both"/>
        <w:rPr>
          <w:rFonts w:ascii="Times New Roman" w:hAnsi="Times New Roman" w:cs="Times New Roman"/>
          <w:color w:val="000000" w:themeColor="text1"/>
          <w:sz w:val="24"/>
          <w:szCs w:val="24"/>
        </w:rPr>
      </w:pPr>
      <w:r w:rsidRPr="00565333">
        <w:rPr>
          <w:rFonts w:ascii="Times New Roman" w:hAnsi="Times New Roman" w:cs="Times New Roman"/>
          <w:color w:val="000000" w:themeColor="text1"/>
          <w:sz w:val="24"/>
          <w:szCs w:val="24"/>
        </w:rPr>
        <w:t xml:space="preserve">  </w:t>
      </w:r>
      <w:proofErr w:type="spellStart"/>
      <w:r w:rsidRPr="00565333">
        <w:rPr>
          <w:rFonts w:ascii="Times New Roman" w:hAnsi="Times New Roman" w:cs="Times New Roman"/>
          <w:color w:val="000000" w:themeColor="text1"/>
          <w:sz w:val="24"/>
          <w:szCs w:val="24"/>
        </w:rPr>
        <w:t>Padayatty</w:t>
      </w:r>
      <w:proofErr w:type="spellEnd"/>
      <w:r w:rsidRPr="00565333">
        <w:rPr>
          <w:rFonts w:ascii="Times New Roman" w:hAnsi="Times New Roman" w:cs="Times New Roman"/>
          <w:color w:val="000000" w:themeColor="text1"/>
          <w:sz w:val="24"/>
          <w:szCs w:val="24"/>
        </w:rPr>
        <w:t xml:space="preserve"> SJ, Sun H, Wang Y, Riordan HD, Hewitt SM, Katz A, et al. Vitamin C pharmacokinetics: implications for oral and intravenous use. Ann Intern Med. 2004;140:533–7.</w:t>
      </w:r>
    </w:p>
    <w:p w14:paraId="20FB3CA4" w14:textId="77777777" w:rsidR="00565333" w:rsidRPr="00565333" w:rsidRDefault="00565333" w:rsidP="0088119A">
      <w:pPr>
        <w:pStyle w:val="ListParagraph"/>
        <w:numPr>
          <w:ilvl w:val="0"/>
          <w:numId w:val="5"/>
        </w:numPr>
        <w:tabs>
          <w:tab w:val="left" w:pos="8640"/>
        </w:tabs>
        <w:ind w:left="450" w:right="-360"/>
        <w:jc w:val="both"/>
        <w:rPr>
          <w:rFonts w:ascii="Times New Roman" w:hAnsi="Times New Roman" w:cs="Times New Roman"/>
          <w:color w:val="000000" w:themeColor="text1"/>
          <w:sz w:val="24"/>
          <w:szCs w:val="24"/>
        </w:rPr>
      </w:pPr>
      <w:r w:rsidRPr="00565333">
        <w:rPr>
          <w:rFonts w:ascii="Times New Roman" w:hAnsi="Times New Roman" w:cs="Times New Roman"/>
          <w:color w:val="000000" w:themeColor="text1"/>
          <w:sz w:val="24"/>
          <w:szCs w:val="24"/>
        </w:rPr>
        <w:t xml:space="preserve">  Carr AC, Shaw GM, Fowler AA, Natarajan R. Ascorbate-dependent vasopressor synthesis: a rationale for vitamin C administration in severe sepsis and septic shock? Crit Care. 2015; 19:418. [PubMed: 26612352]</w:t>
      </w:r>
    </w:p>
    <w:p w14:paraId="6152135A" w14:textId="77777777" w:rsidR="00565333" w:rsidRPr="00565333" w:rsidRDefault="00565333" w:rsidP="0088119A">
      <w:pPr>
        <w:pStyle w:val="ListParagraph"/>
        <w:tabs>
          <w:tab w:val="left" w:pos="8640"/>
        </w:tabs>
        <w:ind w:left="450" w:right="-360"/>
        <w:jc w:val="both"/>
        <w:rPr>
          <w:rFonts w:ascii="Times New Roman" w:hAnsi="Times New Roman" w:cs="Times New Roman"/>
          <w:color w:val="000000" w:themeColor="text1"/>
          <w:sz w:val="24"/>
          <w:szCs w:val="24"/>
        </w:rPr>
      </w:pPr>
    </w:p>
    <w:p w14:paraId="24BD513E" w14:textId="77777777" w:rsidR="00565333" w:rsidRPr="00565333" w:rsidRDefault="00565333" w:rsidP="0088119A">
      <w:pPr>
        <w:pStyle w:val="ListParagraph"/>
        <w:numPr>
          <w:ilvl w:val="0"/>
          <w:numId w:val="5"/>
        </w:numPr>
        <w:tabs>
          <w:tab w:val="left" w:pos="8640"/>
        </w:tabs>
        <w:ind w:left="450" w:right="-360"/>
        <w:jc w:val="both"/>
        <w:rPr>
          <w:rFonts w:ascii="Times New Roman" w:hAnsi="Times New Roman" w:cs="Times New Roman"/>
          <w:color w:val="000000" w:themeColor="text1"/>
          <w:sz w:val="24"/>
          <w:szCs w:val="24"/>
        </w:rPr>
      </w:pPr>
      <w:r w:rsidRPr="00565333">
        <w:rPr>
          <w:rFonts w:ascii="Times New Roman" w:hAnsi="Times New Roman" w:cs="Times New Roman"/>
          <w:color w:val="000000" w:themeColor="text1"/>
          <w:sz w:val="24"/>
          <w:szCs w:val="24"/>
        </w:rPr>
        <w:lastRenderedPageBreak/>
        <w:t xml:space="preserve">  Galley HF, </w:t>
      </w:r>
      <w:proofErr w:type="spellStart"/>
      <w:r w:rsidRPr="00565333">
        <w:rPr>
          <w:rFonts w:ascii="Times New Roman" w:hAnsi="Times New Roman" w:cs="Times New Roman"/>
          <w:color w:val="000000" w:themeColor="text1"/>
          <w:sz w:val="24"/>
          <w:szCs w:val="24"/>
        </w:rPr>
        <w:t>Howdle</w:t>
      </w:r>
      <w:proofErr w:type="spellEnd"/>
      <w:r w:rsidRPr="00565333">
        <w:rPr>
          <w:rFonts w:ascii="Times New Roman" w:hAnsi="Times New Roman" w:cs="Times New Roman"/>
          <w:color w:val="000000" w:themeColor="text1"/>
          <w:sz w:val="24"/>
          <w:szCs w:val="24"/>
        </w:rPr>
        <w:t xml:space="preserve"> PD, Walker BE, Webster NR. The Effects of Intravenous Antioxidants in Patients With Septic Shock. Free </w:t>
      </w:r>
      <w:proofErr w:type="spellStart"/>
      <w:r w:rsidRPr="00565333">
        <w:rPr>
          <w:rFonts w:ascii="Times New Roman" w:hAnsi="Times New Roman" w:cs="Times New Roman"/>
          <w:color w:val="000000" w:themeColor="text1"/>
          <w:sz w:val="24"/>
          <w:szCs w:val="24"/>
        </w:rPr>
        <w:t>Radic</w:t>
      </w:r>
      <w:proofErr w:type="spellEnd"/>
      <w:r w:rsidRPr="00565333">
        <w:rPr>
          <w:rFonts w:ascii="Times New Roman" w:hAnsi="Times New Roman" w:cs="Times New Roman"/>
          <w:color w:val="000000" w:themeColor="text1"/>
          <w:sz w:val="24"/>
          <w:szCs w:val="24"/>
        </w:rPr>
        <w:t xml:space="preserve"> </w:t>
      </w:r>
      <w:proofErr w:type="spellStart"/>
      <w:r w:rsidRPr="00565333">
        <w:rPr>
          <w:rFonts w:ascii="Times New Roman" w:hAnsi="Times New Roman" w:cs="Times New Roman"/>
          <w:color w:val="000000" w:themeColor="text1"/>
          <w:sz w:val="24"/>
          <w:szCs w:val="24"/>
        </w:rPr>
        <w:t>Biol</w:t>
      </w:r>
      <w:proofErr w:type="spellEnd"/>
      <w:r w:rsidRPr="00565333">
        <w:rPr>
          <w:rFonts w:ascii="Times New Roman" w:hAnsi="Times New Roman" w:cs="Times New Roman"/>
          <w:color w:val="000000" w:themeColor="text1"/>
          <w:sz w:val="24"/>
          <w:szCs w:val="24"/>
        </w:rPr>
        <w:t xml:space="preserve"> Med. 1997; 23:768–74. [PubMed: 9296454]</w:t>
      </w:r>
    </w:p>
    <w:p w14:paraId="0DE2806F" w14:textId="77777777" w:rsidR="00565333" w:rsidRPr="00565333" w:rsidRDefault="00565333" w:rsidP="0088119A">
      <w:pPr>
        <w:pStyle w:val="ListParagraph"/>
        <w:numPr>
          <w:ilvl w:val="0"/>
          <w:numId w:val="5"/>
        </w:numPr>
        <w:tabs>
          <w:tab w:val="left" w:pos="8640"/>
        </w:tabs>
        <w:ind w:left="450" w:right="-360"/>
        <w:jc w:val="both"/>
        <w:rPr>
          <w:rFonts w:ascii="Times New Roman" w:hAnsi="Times New Roman" w:cs="Times New Roman"/>
          <w:color w:val="000000" w:themeColor="text1"/>
          <w:sz w:val="24"/>
          <w:szCs w:val="24"/>
        </w:rPr>
      </w:pPr>
      <w:r w:rsidRPr="00565333">
        <w:rPr>
          <w:rFonts w:ascii="Times New Roman" w:hAnsi="Times New Roman" w:cs="Times New Roman"/>
          <w:color w:val="000000" w:themeColor="text1"/>
          <w:sz w:val="24"/>
          <w:szCs w:val="24"/>
        </w:rPr>
        <w:t xml:space="preserve">  </w:t>
      </w:r>
      <w:proofErr w:type="spellStart"/>
      <w:r w:rsidRPr="00565333">
        <w:rPr>
          <w:rFonts w:ascii="Times New Roman" w:hAnsi="Times New Roman" w:cs="Times New Roman"/>
          <w:color w:val="000000" w:themeColor="text1"/>
          <w:sz w:val="24"/>
          <w:szCs w:val="24"/>
        </w:rPr>
        <w:t>Zabet</w:t>
      </w:r>
      <w:proofErr w:type="spellEnd"/>
      <w:r w:rsidRPr="00565333">
        <w:rPr>
          <w:rFonts w:ascii="Times New Roman" w:hAnsi="Times New Roman" w:cs="Times New Roman"/>
          <w:color w:val="000000" w:themeColor="text1"/>
          <w:sz w:val="24"/>
          <w:szCs w:val="24"/>
        </w:rPr>
        <w:t xml:space="preserve"> MH, </w:t>
      </w:r>
      <w:proofErr w:type="spellStart"/>
      <w:r w:rsidRPr="00565333">
        <w:rPr>
          <w:rFonts w:ascii="Times New Roman" w:hAnsi="Times New Roman" w:cs="Times New Roman"/>
          <w:color w:val="000000" w:themeColor="text1"/>
          <w:sz w:val="24"/>
          <w:szCs w:val="24"/>
        </w:rPr>
        <w:t>Mohammadi</w:t>
      </w:r>
      <w:proofErr w:type="spellEnd"/>
      <w:r w:rsidRPr="00565333">
        <w:rPr>
          <w:rFonts w:ascii="Times New Roman" w:hAnsi="Times New Roman" w:cs="Times New Roman"/>
          <w:color w:val="000000" w:themeColor="text1"/>
          <w:sz w:val="24"/>
          <w:szCs w:val="24"/>
        </w:rPr>
        <w:t xml:space="preserve"> M, </w:t>
      </w:r>
      <w:proofErr w:type="spellStart"/>
      <w:r w:rsidRPr="00565333">
        <w:rPr>
          <w:rFonts w:ascii="Times New Roman" w:hAnsi="Times New Roman" w:cs="Times New Roman"/>
          <w:color w:val="000000" w:themeColor="text1"/>
          <w:sz w:val="24"/>
          <w:szCs w:val="24"/>
        </w:rPr>
        <w:t>Ramezani</w:t>
      </w:r>
      <w:proofErr w:type="spellEnd"/>
      <w:r w:rsidRPr="00565333">
        <w:rPr>
          <w:rFonts w:ascii="Times New Roman" w:hAnsi="Times New Roman" w:cs="Times New Roman"/>
          <w:color w:val="000000" w:themeColor="text1"/>
          <w:sz w:val="24"/>
          <w:szCs w:val="24"/>
        </w:rPr>
        <w:t xml:space="preserve"> M, </w:t>
      </w:r>
      <w:proofErr w:type="spellStart"/>
      <w:r w:rsidRPr="00565333">
        <w:rPr>
          <w:rFonts w:ascii="Times New Roman" w:hAnsi="Times New Roman" w:cs="Times New Roman"/>
          <w:color w:val="000000" w:themeColor="text1"/>
          <w:sz w:val="24"/>
          <w:szCs w:val="24"/>
        </w:rPr>
        <w:t>Khalili</w:t>
      </w:r>
      <w:proofErr w:type="spellEnd"/>
      <w:r w:rsidRPr="00565333">
        <w:rPr>
          <w:rFonts w:ascii="Times New Roman" w:hAnsi="Times New Roman" w:cs="Times New Roman"/>
          <w:color w:val="000000" w:themeColor="text1"/>
          <w:sz w:val="24"/>
          <w:szCs w:val="24"/>
        </w:rPr>
        <w:t xml:space="preserve"> H. Effect of high-dose Ascorbic acid on vasopressor's requirement in septic shock. J Res Pharm Pract. 2016;5:94–100.</w:t>
      </w:r>
    </w:p>
    <w:p w14:paraId="4565CBAF" w14:textId="77777777" w:rsidR="00565333" w:rsidRPr="00565333" w:rsidRDefault="00565333" w:rsidP="0088119A">
      <w:pPr>
        <w:pStyle w:val="ListParagraph"/>
        <w:numPr>
          <w:ilvl w:val="0"/>
          <w:numId w:val="5"/>
        </w:numPr>
        <w:tabs>
          <w:tab w:val="left" w:pos="8640"/>
        </w:tabs>
        <w:ind w:left="450" w:right="-360"/>
        <w:jc w:val="both"/>
        <w:rPr>
          <w:rFonts w:ascii="Times New Roman" w:hAnsi="Times New Roman" w:cs="Times New Roman"/>
          <w:color w:val="000000" w:themeColor="text1"/>
          <w:sz w:val="24"/>
          <w:szCs w:val="24"/>
        </w:rPr>
      </w:pPr>
      <w:r w:rsidRPr="00565333">
        <w:rPr>
          <w:rFonts w:ascii="Times New Roman" w:hAnsi="Times New Roman" w:cs="Times New Roman"/>
          <w:color w:val="000000" w:themeColor="text1"/>
          <w:sz w:val="24"/>
          <w:szCs w:val="24"/>
        </w:rPr>
        <w:t xml:space="preserve">  Wilson JX. Mechanism of action of vitamin C in sepsis: ascorbate modulates redox signaling in endothelium. </w:t>
      </w:r>
      <w:proofErr w:type="spellStart"/>
      <w:r w:rsidRPr="00565333">
        <w:rPr>
          <w:rFonts w:ascii="Times New Roman" w:hAnsi="Times New Roman" w:cs="Times New Roman"/>
          <w:color w:val="000000" w:themeColor="text1"/>
          <w:sz w:val="24"/>
          <w:szCs w:val="24"/>
        </w:rPr>
        <w:t>Biofactors</w:t>
      </w:r>
      <w:proofErr w:type="spellEnd"/>
      <w:r w:rsidRPr="00565333">
        <w:rPr>
          <w:rFonts w:ascii="Times New Roman" w:hAnsi="Times New Roman" w:cs="Times New Roman"/>
          <w:color w:val="000000" w:themeColor="text1"/>
          <w:sz w:val="24"/>
          <w:szCs w:val="24"/>
        </w:rPr>
        <w:t>. 2009; 35:5–13. [PubMed: 19319840]</w:t>
      </w:r>
    </w:p>
    <w:p w14:paraId="6D43DC9A" w14:textId="77777777" w:rsidR="00565333" w:rsidRPr="00565333" w:rsidRDefault="00565333" w:rsidP="0088119A">
      <w:pPr>
        <w:pStyle w:val="ListParagraph"/>
        <w:numPr>
          <w:ilvl w:val="0"/>
          <w:numId w:val="5"/>
        </w:numPr>
        <w:tabs>
          <w:tab w:val="left" w:pos="8640"/>
        </w:tabs>
        <w:ind w:left="450" w:right="-360"/>
        <w:jc w:val="both"/>
        <w:rPr>
          <w:rFonts w:ascii="Times New Roman" w:hAnsi="Times New Roman" w:cs="Times New Roman"/>
          <w:color w:val="000000" w:themeColor="text1"/>
          <w:sz w:val="24"/>
          <w:szCs w:val="24"/>
        </w:rPr>
      </w:pPr>
      <w:r w:rsidRPr="00565333">
        <w:rPr>
          <w:rFonts w:ascii="Times New Roman" w:hAnsi="Times New Roman" w:cs="Times New Roman"/>
          <w:color w:val="000000" w:themeColor="text1"/>
          <w:sz w:val="24"/>
          <w:szCs w:val="24"/>
        </w:rPr>
        <w:t xml:space="preserve">  </w:t>
      </w:r>
      <w:proofErr w:type="spellStart"/>
      <w:r w:rsidRPr="00565333">
        <w:rPr>
          <w:rFonts w:ascii="Times New Roman" w:hAnsi="Times New Roman" w:cs="Times New Roman"/>
          <w:color w:val="000000" w:themeColor="text1"/>
          <w:sz w:val="24"/>
          <w:szCs w:val="24"/>
        </w:rPr>
        <w:t>Ströhle</w:t>
      </w:r>
      <w:proofErr w:type="spellEnd"/>
      <w:r w:rsidRPr="00565333">
        <w:rPr>
          <w:rFonts w:ascii="Times New Roman" w:hAnsi="Times New Roman" w:cs="Times New Roman"/>
          <w:color w:val="000000" w:themeColor="text1"/>
          <w:sz w:val="24"/>
          <w:szCs w:val="24"/>
        </w:rPr>
        <w:t xml:space="preserve"> A, Hahn A. Vitamin C and immune function. Med </w:t>
      </w:r>
      <w:proofErr w:type="spellStart"/>
      <w:r w:rsidRPr="00565333">
        <w:rPr>
          <w:rFonts w:ascii="Times New Roman" w:hAnsi="Times New Roman" w:cs="Times New Roman"/>
          <w:color w:val="000000" w:themeColor="text1"/>
          <w:sz w:val="24"/>
          <w:szCs w:val="24"/>
        </w:rPr>
        <w:t>Monatsschr</w:t>
      </w:r>
      <w:proofErr w:type="spellEnd"/>
      <w:r w:rsidRPr="00565333">
        <w:rPr>
          <w:rFonts w:ascii="Times New Roman" w:hAnsi="Times New Roman" w:cs="Times New Roman"/>
          <w:color w:val="000000" w:themeColor="text1"/>
          <w:sz w:val="24"/>
          <w:szCs w:val="24"/>
        </w:rPr>
        <w:t xml:space="preserve"> Pharm. 2009;32(2):49-54.</w:t>
      </w:r>
    </w:p>
    <w:p w14:paraId="5F72EC97" w14:textId="77777777" w:rsidR="00565333" w:rsidRPr="00565333" w:rsidRDefault="00565333" w:rsidP="0088119A">
      <w:pPr>
        <w:pStyle w:val="ListParagraph"/>
        <w:numPr>
          <w:ilvl w:val="0"/>
          <w:numId w:val="5"/>
        </w:numPr>
        <w:tabs>
          <w:tab w:val="left" w:pos="8640"/>
        </w:tabs>
        <w:ind w:left="450" w:right="-360"/>
        <w:jc w:val="both"/>
        <w:rPr>
          <w:rFonts w:ascii="Times New Roman" w:hAnsi="Times New Roman" w:cs="Times New Roman"/>
          <w:color w:val="000000" w:themeColor="text1"/>
          <w:sz w:val="24"/>
          <w:szCs w:val="24"/>
        </w:rPr>
      </w:pPr>
      <w:proofErr w:type="spellStart"/>
      <w:r w:rsidRPr="00BE6DE1">
        <w:rPr>
          <w:rFonts w:ascii="Times New Roman" w:hAnsi="Times New Roman" w:cs="Times New Roman"/>
          <w:sz w:val="24"/>
          <w:szCs w:val="24"/>
        </w:rPr>
        <w:t>Padayatty</w:t>
      </w:r>
      <w:proofErr w:type="spellEnd"/>
      <w:r w:rsidRPr="00BE6DE1">
        <w:rPr>
          <w:rFonts w:ascii="Times New Roman" w:hAnsi="Times New Roman" w:cs="Times New Roman"/>
          <w:sz w:val="24"/>
          <w:szCs w:val="24"/>
        </w:rPr>
        <w:t xml:space="preserve"> SJ, Sun H, Wang Y, Riordan HD, Hewitt SM, Katz A, et al. Vitamin C pharmacokinetics: implications for oral and intravenous use. Ann Intern Med. 2004;140(7):533-537. DOI: 10.7326/0003-4819-140-7-200404060-00010</w:t>
      </w:r>
    </w:p>
    <w:p w14:paraId="56EB4561" w14:textId="77777777" w:rsidR="00565333" w:rsidRDefault="00565333" w:rsidP="00DC1A31">
      <w:pPr>
        <w:spacing w:line="360" w:lineRule="auto"/>
        <w:ind w:right="-90"/>
        <w:rPr>
          <w:rFonts w:ascii="Times New Roman" w:hAnsi="Times New Roman" w:cs="Times New Roman"/>
          <w:b/>
          <w:sz w:val="24"/>
          <w:szCs w:val="24"/>
        </w:rPr>
      </w:pPr>
    </w:p>
    <w:p w14:paraId="1AD182FE" w14:textId="77777777" w:rsidR="00565333" w:rsidRDefault="00565333" w:rsidP="00DC1A31">
      <w:pPr>
        <w:spacing w:line="360" w:lineRule="auto"/>
        <w:ind w:right="-90"/>
        <w:rPr>
          <w:rFonts w:ascii="Times New Roman" w:hAnsi="Times New Roman" w:cs="Times New Roman"/>
          <w:b/>
          <w:sz w:val="24"/>
          <w:szCs w:val="24"/>
        </w:rPr>
      </w:pPr>
    </w:p>
    <w:p w14:paraId="2BC27858" w14:textId="77777777" w:rsidR="00565333" w:rsidRPr="00F338CE" w:rsidRDefault="00565333" w:rsidP="00DC1A31">
      <w:pPr>
        <w:spacing w:line="360" w:lineRule="auto"/>
        <w:ind w:right="-90"/>
        <w:rPr>
          <w:rFonts w:ascii="Times New Roman" w:hAnsi="Times New Roman" w:cs="Times New Roman"/>
          <w:b/>
          <w:sz w:val="24"/>
          <w:szCs w:val="24"/>
        </w:rPr>
      </w:pPr>
    </w:p>
    <w:sectPr w:rsidR="00565333" w:rsidRPr="00F338CE" w:rsidSect="004D6819">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113B76"/>
    <w:multiLevelType w:val="hybridMultilevel"/>
    <w:tmpl w:val="B63472C6"/>
    <w:lvl w:ilvl="0" w:tplc="A088181E">
      <w:start w:val="1"/>
      <w:numFmt w:val="bullet"/>
      <w:lvlText w:val=""/>
      <w:lvlJc w:val="left"/>
      <w:pPr>
        <w:tabs>
          <w:tab w:val="num" w:pos="720"/>
        </w:tabs>
        <w:ind w:left="720" w:hanging="360"/>
      </w:pPr>
      <w:rPr>
        <w:rFonts w:ascii="Wingdings" w:hAnsi="Wingdings" w:hint="default"/>
        <w:b w:val="0"/>
        <w:i/>
        <w:sz w:val="32"/>
      </w:rPr>
    </w:lvl>
    <w:lvl w:ilvl="1" w:tplc="2F66ECE6" w:tentative="1">
      <w:start w:val="1"/>
      <w:numFmt w:val="decimal"/>
      <w:lvlText w:val="%2."/>
      <w:lvlJc w:val="left"/>
      <w:pPr>
        <w:tabs>
          <w:tab w:val="num" w:pos="1440"/>
        </w:tabs>
        <w:ind w:left="1440" w:hanging="360"/>
      </w:pPr>
    </w:lvl>
    <w:lvl w:ilvl="2" w:tplc="B784F99A" w:tentative="1">
      <w:start w:val="1"/>
      <w:numFmt w:val="decimal"/>
      <w:lvlText w:val="%3."/>
      <w:lvlJc w:val="left"/>
      <w:pPr>
        <w:tabs>
          <w:tab w:val="num" w:pos="2160"/>
        </w:tabs>
        <w:ind w:left="2160" w:hanging="360"/>
      </w:pPr>
    </w:lvl>
    <w:lvl w:ilvl="3" w:tplc="24D44C34" w:tentative="1">
      <w:start w:val="1"/>
      <w:numFmt w:val="decimal"/>
      <w:lvlText w:val="%4."/>
      <w:lvlJc w:val="left"/>
      <w:pPr>
        <w:tabs>
          <w:tab w:val="num" w:pos="2880"/>
        </w:tabs>
        <w:ind w:left="2880" w:hanging="360"/>
      </w:pPr>
    </w:lvl>
    <w:lvl w:ilvl="4" w:tplc="CACEEBE8" w:tentative="1">
      <w:start w:val="1"/>
      <w:numFmt w:val="decimal"/>
      <w:lvlText w:val="%5."/>
      <w:lvlJc w:val="left"/>
      <w:pPr>
        <w:tabs>
          <w:tab w:val="num" w:pos="3600"/>
        </w:tabs>
        <w:ind w:left="3600" w:hanging="360"/>
      </w:pPr>
    </w:lvl>
    <w:lvl w:ilvl="5" w:tplc="E8D6DF28" w:tentative="1">
      <w:start w:val="1"/>
      <w:numFmt w:val="decimal"/>
      <w:lvlText w:val="%6."/>
      <w:lvlJc w:val="left"/>
      <w:pPr>
        <w:tabs>
          <w:tab w:val="num" w:pos="4320"/>
        </w:tabs>
        <w:ind w:left="4320" w:hanging="360"/>
      </w:pPr>
    </w:lvl>
    <w:lvl w:ilvl="6" w:tplc="82A2E6A0" w:tentative="1">
      <w:start w:val="1"/>
      <w:numFmt w:val="decimal"/>
      <w:lvlText w:val="%7."/>
      <w:lvlJc w:val="left"/>
      <w:pPr>
        <w:tabs>
          <w:tab w:val="num" w:pos="5040"/>
        </w:tabs>
        <w:ind w:left="5040" w:hanging="360"/>
      </w:pPr>
    </w:lvl>
    <w:lvl w:ilvl="7" w:tplc="303272F2" w:tentative="1">
      <w:start w:val="1"/>
      <w:numFmt w:val="decimal"/>
      <w:lvlText w:val="%8."/>
      <w:lvlJc w:val="left"/>
      <w:pPr>
        <w:tabs>
          <w:tab w:val="num" w:pos="5760"/>
        </w:tabs>
        <w:ind w:left="5760" w:hanging="360"/>
      </w:pPr>
    </w:lvl>
    <w:lvl w:ilvl="8" w:tplc="15CA4268" w:tentative="1">
      <w:start w:val="1"/>
      <w:numFmt w:val="decimal"/>
      <w:lvlText w:val="%9."/>
      <w:lvlJc w:val="left"/>
      <w:pPr>
        <w:tabs>
          <w:tab w:val="num" w:pos="6480"/>
        </w:tabs>
        <w:ind w:left="6480" w:hanging="360"/>
      </w:pPr>
    </w:lvl>
  </w:abstractNum>
  <w:abstractNum w:abstractNumId="1" w15:restartNumberingAfterBreak="0">
    <w:nsid w:val="432C3FDE"/>
    <w:multiLevelType w:val="hybridMultilevel"/>
    <w:tmpl w:val="DA4E7932"/>
    <w:lvl w:ilvl="0" w:tplc="31505360">
      <w:start w:val="1"/>
      <w:numFmt w:val="decimal"/>
      <w:lvlText w:val="%1."/>
      <w:lvlJc w:val="left"/>
      <w:pPr>
        <w:ind w:left="360" w:hanging="360"/>
      </w:pPr>
      <w:rPr>
        <w:rFonts w:ascii="Times New Roman" w:hAnsi="Times New Roman" w:hint="default"/>
        <w:sz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65872AC"/>
    <w:multiLevelType w:val="hybridMultilevel"/>
    <w:tmpl w:val="D8769F6E"/>
    <w:lvl w:ilvl="0" w:tplc="A088181E">
      <w:start w:val="1"/>
      <w:numFmt w:val="bullet"/>
      <w:lvlText w:val=""/>
      <w:lvlJc w:val="left"/>
      <w:pPr>
        <w:ind w:left="720" w:hanging="360"/>
      </w:pPr>
      <w:rPr>
        <w:rFonts w:ascii="Wingdings" w:hAnsi="Wingdings" w:hint="default"/>
        <w:b w:val="0"/>
        <w:i/>
        <w:sz w:val="3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E9A2691"/>
    <w:multiLevelType w:val="hybridMultilevel"/>
    <w:tmpl w:val="78469352"/>
    <w:lvl w:ilvl="0" w:tplc="0409000D">
      <w:start w:val="1"/>
      <w:numFmt w:val="bullet"/>
      <w:lvlText w:val=""/>
      <w:lvlJc w:val="left"/>
      <w:pPr>
        <w:ind w:left="1710" w:hanging="360"/>
      </w:pPr>
      <w:rPr>
        <w:rFonts w:ascii="Wingdings" w:hAnsi="Wingdings" w:hint="default"/>
      </w:rPr>
    </w:lvl>
    <w:lvl w:ilvl="1" w:tplc="04090003" w:tentative="1">
      <w:start w:val="1"/>
      <w:numFmt w:val="bullet"/>
      <w:lvlText w:val="o"/>
      <w:lvlJc w:val="left"/>
      <w:pPr>
        <w:ind w:left="2430" w:hanging="360"/>
      </w:pPr>
      <w:rPr>
        <w:rFonts w:ascii="Courier New" w:hAnsi="Courier New" w:cs="Courier New" w:hint="default"/>
      </w:rPr>
    </w:lvl>
    <w:lvl w:ilvl="2" w:tplc="04090005" w:tentative="1">
      <w:start w:val="1"/>
      <w:numFmt w:val="bullet"/>
      <w:lvlText w:val=""/>
      <w:lvlJc w:val="left"/>
      <w:pPr>
        <w:ind w:left="3150" w:hanging="360"/>
      </w:pPr>
      <w:rPr>
        <w:rFonts w:ascii="Wingdings" w:hAnsi="Wingdings" w:hint="default"/>
      </w:rPr>
    </w:lvl>
    <w:lvl w:ilvl="3" w:tplc="04090001" w:tentative="1">
      <w:start w:val="1"/>
      <w:numFmt w:val="bullet"/>
      <w:lvlText w:val=""/>
      <w:lvlJc w:val="left"/>
      <w:pPr>
        <w:ind w:left="3870" w:hanging="360"/>
      </w:pPr>
      <w:rPr>
        <w:rFonts w:ascii="Symbol" w:hAnsi="Symbol" w:hint="default"/>
      </w:rPr>
    </w:lvl>
    <w:lvl w:ilvl="4" w:tplc="04090003" w:tentative="1">
      <w:start w:val="1"/>
      <w:numFmt w:val="bullet"/>
      <w:lvlText w:val="o"/>
      <w:lvlJc w:val="left"/>
      <w:pPr>
        <w:ind w:left="4590" w:hanging="360"/>
      </w:pPr>
      <w:rPr>
        <w:rFonts w:ascii="Courier New" w:hAnsi="Courier New" w:cs="Courier New" w:hint="default"/>
      </w:rPr>
    </w:lvl>
    <w:lvl w:ilvl="5" w:tplc="04090005" w:tentative="1">
      <w:start w:val="1"/>
      <w:numFmt w:val="bullet"/>
      <w:lvlText w:val=""/>
      <w:lvlJc w:val="left"/>
      <w:pPr>
        <w:ind w:left="5310" w:hanging="360"/>
      </w:pPr>
      <w:rPr>
        <w:rFonts w:ascii="Wingdings" w:hAnsi="Wingdings" w:hint="default"/>
      </w:rPr>
    </w:lvl>
    <w:lvl w:ilvl="6" w:tplc="04090001" w:tentative="1">
      <w:start w:val="1"/>
      <w:numFmt w:val="bullet"/>
      <w:lvlText w:val=""/>
      <w:lvlJc w:val="left"/>
      <w:pPr>
        <w:ind w:left="6030" w:hanging="360"/>
      </w:pPr>
      <w:rPr>
        <w:rFonts w:ascii="Symbol" w:hAnsi="Symbol" w:hint="default"/>
      </w:rPr>
    </w:lvl>
    <w:lvl w:ilvl="7" w:tplc="04090003" w:tentative="1">
      <w:start w:val="1"/>
      <w:numFmt w:val="bullet"/>
      <w:lvlText w:val="o"/>
      <w:lvlJc w:val="left"/>
      <w:pPr>
        <w:ind w:left="6750" w:hanging="360"/>
      </w:pPr>
      <w:rPr>
        <w:rFonts w:ascii="Courier New" w:hAnsi="Courier New" w:cs="Courier New" w:hint="default"/>
      </w:rPr>
    </w:lvl>
    <w:lvl w:ilvl="8" w:tplc="04090005" w:tentative="1">
      <w:start w:val="1"/>
      <w:numFmt w:val="bullet"/>
      <w:lvlText w:val=""/>
      <w:lvlJc w:val="left"/>
      <w:pPr>
        <w:ind w:left="7470" w:hanging="360"/>
      </w:pPr>
      <w:rPr>
        <w:rFonts w:ascii="Wingdings" w:hAnsi="Wingdings" w:hint="default"/>
      </w:rPr>
    </w:lvl>
  </w:abstractNum>
  <w:abstractNum w:abstractNumId="4" w15:restartNumberingAfterBreak="0">
    <w:nsid w:val="5ED42ADD"/>
    <w:multiLevelType w:val="hybridMultilevel"/>
    <w:tmpl w:val="6666C4D0"/>
    <w:lvl w:ilvl="0" w:tplc="E75EBF0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0042C47"/>
    <w:multiLevelType w:val="hybridMultilevel"/>
    <w:tmpl w:val="B0EAB14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80F3896"/>
    <w:multiLevelType w:val="hybridMultilevel"/>
    <w:tmpl w:val="029C8D6E"/>
    <w:lvl w:ilvl="0" w:tplc="0409001B">
      <w:start w:val="1"/>
      <w:numFmt w:val="lowerRoman"/>
      <w:lvlText w:val="%1."/>
      <w:lvlJc w:val="righ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205679325">
    <w:abstractNumId w:val="5"/>
  </w:num>
  <w:num w:numId="2" w16cid:durableId="759176001">
    <w:abstractNumId w:val="3"/>
  </w:num>
  <w:num w:numId="3" w16cid:durableId="570895038">
    <w:abstractNumId w:val="6"/>
  </w:num>
  <w:num w:numId="4" w16cid:durableId="1363940638">
    <w:abstractNumId w:val="2"/>
  </w:num>
  <w:num w:numId="5" w16cid:durableId="1686639580">
    <w:abstractNumId w:val="1"/>
  </w:num>
  <w:num w:numId="6" w16cid:durableId="1929774585">
    <w:abstractNumId w:val="0"/>
  </w:num>
  <w:num w:numId="7" w16cid:durableId="19555992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7"/>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6050"/>
    <w:rsid w:val="000129DB"/>
    <w:rsid w:val="00013878"/>
    <w:rsid w:val="00015C71"/>
    <w:rsid w:val="00047E0C"/>
    <w:rsid w:val="000A635C"/>
    <w:rsid w:val="001153C6"/>
    <w:rsid w:val="00165EE5"/>
    <w:rsid w:val="001978D9"/>
    <w:rsid w:val="00241FDB"/>
    <w:rsid w:val="00247914"/>
    <w:rsid w:val="00381A42"/>
    <w:rsid w:val="0039683A"/>
    <w:rsid w:val="003A7FCD"/>
    <w:rsid w:val="003D7113"/>
    <w:rsid w:val="0040556A"/>
    <w:rsid w:val="00416463"/>
    <w:rsid w:val="00425968"/>
    <w:rsid w:val="00444523"/>
    <w:rsid w:val="004567BD"/>
    <w:rsid w:val="00466E53"/>
    <w:rsid w:val="00470C46"/>
    <w:rsid w:val="004D6819"/>
    <w:rsid w:val="004E1E1A"/>
    <w:rsid w:val="004F1465"/>
    <w:rsid w:val="0050459F"/>
    <w:rsid w:val="00552E97"/>
    <w:rsid w:val="005631AC"/>
    <w:rsid w:val="00565333"/>
    <w:rsid w:val="005D25DF"/>
    <w:rsid w:val="00646E39"/>
    <w:rsid w:val="00692C25"/>
    <w:rsid w:val="006B165A"/>
    <w:rsid w:val="00733EEA"/>
    <w:rsid w:val="007504E6"/>
    <w:rsid w:val="007E5948"/>
    <w:rsid w:val="00820245"/>
    <w:rsid w:val="0088119A"/>
    <w:rsid w:val="009A0119"/>
    <w:rsid w:val="009A353B"/>
    <w:rsid w:val="00A22764"/>
    <w:rsid w:val="00A46176"/>
    <w:rsid w:val="00A47D17"/>
    <w:rsid w:val="00AA157A"/>
    <w:rsid w:val="00AC3351"/>
    <w:rsid w:val="00AC545D"/>
    <w:rsid w:val="00AE5930"/>
    <w:rsid w:val="00B27CCD"/>
    <w:rsid w:val="00B53A43"/>
    <w:rsid w:val="00B86614"/>
    <w:rsid w:val="00C02009"/>
    <w:rsid w:val="00C20014"/>
    <w:rsid w:val="00C42907"/>
    <w:rsid w:val="00C77FC2"/>
    <w:rsid w:val="00CD564B"/>
    <w:rsid w:val="00D1657D"/>
    <w:rsid w:val="00D228D7"/>
    <w:rsid w:val="00DC0A8F"/>
    <w:rsid w:val="00DC0B27"/>
    <w:rsid w:val="00DC1A31"/>
    <w:rsid w:val="00E21EA3"/>
    <w:rsid w:val="00E47237"/>
    <w:rsid w:val="00EE6050"/>
    <w:rsid w:val="00EE7095"/>
    <w:rsid w:val="00F17972"/>
    <w:rsid w:val="00F338CE"/>
    <w:rsid w:val="00F6104F"/>
    <w:rsid w:val="00FA0D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10957D"/>
  <w15:docId w15:val="{95E99F5D-E9F9-D74D-8A8A-58520CD7BD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6050"/>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E6050"/>
    <w:rPr>
      <w:color w:val="0000FF" w:themeColor="hyperlink"/>
      <w:u w:val="single"/>
    </w:rPr>
  </w:style>
  <w:style w:type="paragraph" w:customStyle="1" w:styleId="Default">
    <w:name w:val="Default"/>
    <w:rsid w:val="00DC1A31"/>
    <w:pPr>
      <w:autoSpaceDE w:val="0"/>
      <w:autoSpaceDN w:val="0"/>
      <w:adjustRightInd w:val="0"/>
      <w:spacing w:after="0" w:line="240" w:lineRule="auto"/>
    </w:pPr>
    <w:rPr>
      <w:rFonts w:ascii="Times New Roman" w:hAnsi="Times New Roman" w:cs="Times New Roman"/>
      <w:color w:val="000000"/>
      <w:sz w:val="24"/>
      <w:szCs w:val="24"/>
    </w:rPr>
  </w:style>
  <w:style w:type="character" w:styleId="EndnoteReference">
    <w:name w:val="endnote reference"/>
    <w:basedOn w:val="DefaultParagraphFont"/>
    <w:uiPriority w:val="99"/>
    <w:semiHidden/>
    <w:unhideWhenUsed/>
    <w:rsid w:val="00AC3351"/>
    <w:rPr>
      <w:vertAlign w:val="superscript"/>
    </w:rPr>
  </w:style>
  <w:style w:type="paragraph" w:styleId="ListParagraph">
    <w:name w:val="List Paragraph"/>
    <w:basedOn w:val="Normal"/>
    <w:uiPriority w:val="34"/>
    <w:qFormat/>
    <w:rsid w:val="00F17972"/>
    <w:pPr>
      <w:spacing w:after="200" w:line="276" w:lineRule="auto"/>
      <w:ind w:left="720"/>
      <w:contextualSpacing/>
    </w:pPr>
  </w:style>
  <w:style w:type="paragraph" w:styleId="BalloonText">
    <w:name w:val="Balloon Text"/>
    <w:basedOn w:val="Normal"/>
    <w:link w:val="BalloonTextChar"/>
    <w:uiPriority w:val="99"/>
    <w:semiHidden/>
    <w:unhideWhenUsed/>
    <w:rsid w:val="004E1E1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E1E1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theme" Target="theme/theme1.xml" /><Relationship Id="rId5" Type="http://schemas.openxmlformats.org/officeDocument/2006/relationships/fontTable" Target="fontTable.xml" /><Relationship Id="rId4" Type="http://schemas.openxmlformats.org/officeDocument/2006/relationships/webSettings" Target="webSetting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1073</Words>
  <Characters>6117</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Arif</dc:creator>
  <cp:lastModifiedBy>Mohammed Misbah Ul Haq</cp:lastModifiedBy>
  <cp:revision>2</cp:revision>
  <cp:lastPrinted>2022-06-29T07:04:00Z</cp:lastPrinted>
  <dcterms:created xsi:type="dcterms:W3CDTF">2022-08-20T12:44:00Z</dcterms:created>
  <dcterms:modified xsi:type="dcterms:W3CDTF">2022-08-20T12:44:00Z</dcterms:modified>
</cp:coreProperties>
</file>