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2F35A" w14:textId="4BCF9D2B" w:rsidR="00781F61" w:rsidRDefault="00781F61" w:rsidP="00781F61">
      <w:pPr>
        <w:bidi/>
        <w:jc w:val="center"/>
        <w:rPr>
          <w:b/>
          <w:bCs/>
          <w:rtl/>
          <w:lang w:bidi="ar-JO"/>
        </w:rPr>
      </w:pPr>
      <w:r>
        <w:rPr>
          <w:b/>
          <w:bCs/>
          <w:lang w:val="en-GB" w:bidi="ar-JO"/>
        </w:rPr>
        <w:t xml:space="preserve">Title: </w:t>
      </w:r>
      <w:r>
        <w:rPr>
          <w:b/>
          <w:bCs/>
          <w:lang w:val="en-GB" w:bidi="ar-JO"/>
        </w:rPr>
        <w:t>Evaluation</w:t>
      </w:r>
      <w:r w:rsidRPr="00840DDD">
        <w:rPr>
          <w:b/>
          <w:bCs/>
          <w:lang w:bidi="ar-JO"/>
        </w:rPr>
        <w:t xml:space="preserve"> of Ferritin Level, Growth, and Puberty Signs on Transfusion-Dependent Thalassemia Patients</w:t>
      </w:r>
    </w:p>
    <w:p w14:paraId="6830E786" w14:textId="76CD50A3" w:rsidR="00180AFF" w:rsidRDefault="00180AFF">
      <w:pPr>
        <w:rPr>
          <w:lang w:bidi="ar-JO"/>
        </w:rPr>
      </w:pPr>
    </w:p>
    <w:p w14:paraId="3D9B6B23" w14:textId="0E69E32D" w:rsidR="00781F61" w:rsidRDefault="00781F61">
      <w:pPr>
        <w:rPr>
          <w:lang w:bidi="ar-JO"/>
        </w:rPr>
      </w:pPr>
    </w:p>
    <w:p w14:paraId="0F3CF770" w14:textId="6E7E0808" w:rsidR="00781F61" w:rsidRDefault="00781F61" w:rsidP="00781F61">
      <w:pPr>
        <w:jc w:val="center"/>
        <w:rPr>
          <w:lang w:bidi="ar-JO"/>
        </w:rPr>
      </w:pPr>
      <w:r>
        <w:rPr>
          <w:lang w:bidi="ar-JO"/>
        </w:rPr>
        <w:t>Name: Huda Gharaibeh</w:t>
      </w:r>
    </w:p>
    <w:p w14:paraId="74071F74" w14:textId="071596A4" w:rsidR="00781F61" w:rsidRDefault="00781F61" w:rsidP="00781F61">
      <w:pPr>
        <w:jc w:val="center"/>
        <w:rPr>
          <w:lang w:bidi="ar-JO"/>
        </w:rPr>
      </w:pPr>
      <w:r>
        <w:rPr>
          <w:lang w:bidi="ar-JO"/>
        </w:rPr>
        <w:t>Jordan University of Science and Technology, Jordan</w:t>
      </w:r>
    </w:p>
    <w:p w14:paraId="6240BA30" w14:textId="6833AE82" w:rsidR="000C6C26" w:rsidRDefault="000C6C26" w:rsidP="00781F61">
      <w:pPr>
        <w:jc w:val="center"/>
        <w:rPr>
          <w:lang w:bidi="ar-JO"/>
        </w:rPr>
      </w:pPr>
    </w:p>
    <w:p w14:paraId="0FB4977A" w14:textId="547E86BA" w:rsidR="000C6C26" w:rsidRDefault="000C6C26" w:rsidP="000C6C26">
      <w:pPr>
        <w:pStyle w:val="BodyText"/>
        <w:spacing w:before="1"/>
        <w:ind w:left="0" w:firstLine="0"/>
      </w:pPr>
      <w:r>
        <w:rPr>
          <w:bCs/>
        </w:rPr>
        <w:t>P</w:t>
      </w:r>
      <w:r w:rsidRPr="00936DC7">
        <w:rPr>
          <w:bCs/>
        </w:rPr>
        <w:t>atients</w:t>
      </w:r>
      <w:r w:rsidRPr="00463679">
        <w:rPr>
          <w:bCs/>
        </w:rPr>
        <w:t xml:space="preserve"> with thalassemia</w:t>
      </w:r>
      <w:r>
        <w:rPr>
          <w:bCs/>
        </w:rPr>
        <w:t xml:space="preserve"> major</w:t>
      </w:r>
      <w:r w:rsidRPr="00463679">
        <w:rPr>
          <w:bCs/>
        </w:rPr>
        <w:t xml:space="preserve"> need</w:t>
      </w:r>
      <w:r>
        <w:rPr>
          <w:bCs/>
        </w:rPr>
        <w:t xml:space="preserve"> a recurrent</w:t>
      </w:r>
      <w:r w:rsidRPr="00463679">
        <w:rPr>
          <w:bCs/>
        </w:rPr>
        <w:t xml:space="preserve"> blood transfusion</w:t>
      </w:r>
      <w:r>
        <w:rPr>
          <w:bCs/>
        </w:rPr>
        <w:t>,</w:t>
      </w:r>
      <w:r w:rsidRPr="00463679">
        <w:rPr>
          <w:bCs/>
        </w:rPr>
        <w:t xml:space="preserve"> and chelation therapy to survive life</w:t>
      </w:r>
      <w:r>
        <w:rPr>
          <w:bCs/>
        </w:rPr>
        <w:t>.</w:t>
      </w:r>
      <w:r w:rsidRPr="00463679">
        <w:rPr>
          <w:bCs/>
        </w:rPr>
        <w:t xml:space="preserve"> </w:t>
      </w:r>
      <w:r>
        <w:rPr>
          <w:bCs/>
        </w:rPr>
        <w:t>T</w:t>
      </w:r>
      <w:r w:rsidRPr="00463679">
        <w:rPr>
          <w:bCs/>
        </w:rPr>
        <w:t xml:space="preserve">his condition may lead to </w:t>
      </w:r>
      <w:proofErr w:type="spellStart"/>
      <w:r w:rsidRPr="00AF3C7E">
        <w:rPr>
          <w:bCs/>
        </w:rPr>
        <w:t>transfusional</w:t>
      </w:r>
      <w:proofErr w:type="spellEnd"/>
      <w:r w:rsidRPr="00AF3C7E">
        <w:rPr>
          <w:bCs/>
        </w:rPr>
        <w:t xml:space="preserve"> </w:t>
      </w:r>
      <w:r w:rsidRPr="00463679">
        <w:rPr>
          <w:bCs/>
        </w:rPr>
        <w:t xml:space="preserve">iron overload-induced complications, including endocrine complications as puberty and growth disorders. </w:t>
      </w:r>
    </w:p>
    <w:p w14:paraId="5FA0C588" w14:textId="15037294" w:rsidR="000C6C26" w:rsidRPr="00C916AF" w:rsidRDefault="000C6C26" w:rsidP="000C6C26">
      <w:pPr>
        <w:pStyle w:val="BodyText"/>
        <w:ind w:left="0" w:firstLine="0"/>
      </w:pPr>
      <w:r w:rsidRPr="00312289">
        <w:rPr>
          <w:bCs/>
        </w:rPr>
        <w:t>A</w:t>
      </w:r>
      <w:r w:rsidRPr="005A07C4">
        <w:rPr>
          <w:bCs/>
        </w:rPr>
        <w:t xml:space="preserve"> cross-sectional design </w:t>
      </w:r>
      <w:r>
        <w:rPr>
          <w:bCs/>
        </w:rPr>
        <w:t xml:space="preserve">was used to collect data from thalassemic patients. A </w:t>
      </w:r>
      <w:r w:rsidRPr="00FE038C">
        <w:rPr>
          <w:bCs/>
        </w:rPr>
        <w:t xml:space="preserve">purposive nonprobability sample of 177 </w:t>
      </w:r>
      <w:bookmarkStart w:id="0" w:name="_Hlk68292625"/>
      <w:r w:rsidRPr="005A07C4">
        <w:rPr>
          <w:bCs/>
        </w:rPr>
        <w:t xml:space="preserve">transfusion-dependent β-thalassemia </w:t>
      </w:r>
      <w:bookmarkEnd w:id="0"/>
      <w:r>
        <w:rPr>
          <w:bCs/>
        </w:rPr>
        <w:t>patients</w:t>
      </w:r>
      <w:r w:rsidRPr="005A07C4">
        <w:rPr>
          <w:bCs/>
        </w:rPr>
        <w:t xml:space="preserve"> aged (8-20) years in thalassemia clinics </w:t>
      </w:r>
      <w:r>
        <w:rPr>
          <w:bCs/>
        </w:rPr>
        <w:t>at</w:t>
      </w:r>
      <w:r w:rsidRPr="005A07C4">
        <w:rPr>
          <w:bCs/>
        </w:rPr>
        <w:t xml:space="preserve"> </w:t>
      </w:r>
      <w:r>
        <w:rPr>
          <w:bCs/>
        </w:rPr>
        <w:t xml:space="preserve">three </w:t>
      </w:r>
      <w:r w:rsidRPr="005A07C4">
        <w:rPr>
          <w:bCs/>
        </w:rPr>
        <w:t>government hospitals</w:t>
      </w:r>
      <w:r w:rsidRPr="00762A5A">
        <w:t xml:space="preserve"> </w:t>
      </w:r>
      <w:r w:rsidRPr="00762A5A">
        <w:rPr>
          <w:bCs/>
        </w:rPr>
        <w:t>w</w:t>
      </w:r>
      <w:r>
        <w:rPr>
          <w:bCs/>
        </w:rPr>
        <w:t>as</w:t>
      </w:r>
      <w:r w:rsidRPr="00762A5A">
        <w:rPr>
          <w:bCs/>
        </w:rPr>
        <w:t xml:space="preserve"> enrolled</w:t>
      </w:r>
      <w:r>
        <w:rPr>
          <w:bCs/>
        </w:rPr>
        <w:t>. The instruments used in this study were patients' clinical data</w:t>
      </w:r>
      <w:r w:rsidRPr="005A07C4">
        <w:rPr>
          <w:bCs/>
        </w:rPr>
        <w:t xml:space="preserve"> </w:t>
      </w:r>
      <w:r w:rsidRPr="001F5499">
        <w:t xml:space="preserve">by using </w:t>
      </w:r>
      <w:r>
        <w:t xml:space="preserve">the </w:t>
      </w:r>
      <w:r w:rsidRPr="001F5499">
        <w:t>Hakeem system</w:t>
      </w:r>
      <w:r>
        <w:t>,</w:t>
      </w:r>
      <w:r w:rsidRPr="005A07C4">
        <w:rPr>
          <w:bCs/>
        </w:rPr>
        <w:t xml:space="preserve"> </w:t>
      </w:r>
      <w:r w:rsidRPr="00C916AF">
        <w:t>pubertal development scale, anthropometric measurements</w:t>
      </w:r>
      <w:r>
        <w:t>,</w:t>
      </w:r>
      <w:r w:rsidRPr="00C1082E">
        <w:t xml:space="preserve"> </w:t>
      </w:r>
      <w:r>
        <w:t>questions related menstrual history for females, question related testicular volume development for males, and</w:t>
      </w:r>
      <w:r w:rsidRPr="00291E2A">
        <w:t xml:space="preserve"> socio-demographic data</w:t>
      </w:r>
      <w:r w:rsidRPr="00C916AF">
        <w:t>. The results of this study were considered significant at p&lt;0.05 level.</w:t>
      </w:r>
    </w:p>
    <w:p w14:paraId="35C6D038" w14:textId="77777777" w:rsidR="000C6C26" w:rsidRDefault="000C6C26" w:rsidP="000C6C26"/>
    <w:p w14:paraId="464A598B" w14:textId="7E5CDC79" w:rsidR="000C6C26" w:rsidRPr="000C6C26" w:rsidRDefault="000C6C26" w:rsidP="000C6C26">
      <w:pPr>
        <w:pStyle w:val="BodyText"/>
        <w:spacing w:before="75"/>
        <w:ind w:left="0" w:firstLine="0"/>
        <w:rPr>
          <w:b/>
        </w:rPr>
      </w:pPr>
      <w:r w:rsidRPr="000C6C26">
        <w:rPr>
          <w:bCs/>
        </w:rPr>
        <w:t>Results</w:t>
      </w:r>
      <w:r>
        <w:rPr>
          <w:bCs/>
        </w:rPr>
        <w:t xml:space="preserve"> indicated that</w:t>
      </w:r>
      <w:r w:rsidRPr="009D4F71">
        <w:rPr>
          <w:bCs/>
        </w:rPr>
        <w:t xml:space="preserve"> 49.2% of the patients were females and 50.8 % were males.</w:t>
      </w:r>
      <w:r w:rsidRPr="009D4F71">
        <w:rPr>
          <w:b/>
        </w:rPr>
        <w:t xml:space="preserve"> </w:t>
      </w:r>
      <w:r w:rsidRPr="009D4F71">
        <w:rPr>
          <w:bCs/>
        </w:rPr>
        <w:t>The mean age of the patients was (14.2±2.769) years.</w:t>
      </w:r>
      <w:r w:rsidRPr="009D4F71">
        <w:rPr>
          <w:b/>
        </w:rPr>
        <w:t xml:space="preserve"> </w:t>
      </w:r>
      <w:r w:rsidRPr="009D4F71">
        <w:rPr>
          <w:bCs/>
        </w:rPr>
        <w:t>The mean serum ferritin level of the patients w</w:t>
      </w:r>
      <w:r>
        <w:rPr>
          <w:bCs/>
        </w:rPr>
        <w:t>as</w:t>
      </w:r>
      <w:r w:rsidRPr="009D4F71">
        <w:rPr>
          <w:bCs/>
        </w:rPr>
        <w:t xml:space="preserve"> (2968.13±2086.50) ng/</w:t>
      </w:r>
      <w:proofErr w:type="spellStart"/>
      <w:r w:rsidRPr="009D4F71">
        <w:rPr>
          <w:bCs/>
        </w:rPr>
        <w:t>mL.</w:t>
      </w:r>
      <w:proofErr w:type="spellEnd"/>
      <w:r w:rsidRPr="009D4F71">
        <w:rPr>
          <w:b/>
        </w:rPr>
        <w:t xml:space="preserve"> </w:t>
      </w:r>
      <w:r w:rsidRPr="009D4F71">
        <w:rPr>
          <w:bCs/>
        </w:rPr>
        <w:t>In this study,</w:t>
      </w:r>
      <w:r>
        <w:t xml:space="preserve"> </w:t>
      </w:r>
      <w:r>
        <w:rPr>
          <w:bCs/>
        </w:rPr>
        <w:t>n</w:t>
      </w:r>
      <w:r w:rsidRPr="00056E9F">
        <w:rPr>
          <w:bCs/>
        </w:rPr>
        <w:t>early 40.4% (N=23/57) of males' patients had normal puberty while 79.7% (N=47/59) of females' patients had normal puberty. On the other hand, 59.6% (N=34/57) of males' patients had delayed puberty while 20.3% (N=12/59) of females' patients had delayed puberty</w:t>
      </w:r>
      <w:r>
        <w:rPr>
          <w:bCs/>
        </w:rPr>
        <w:t xml:space="preserve">. Approximately </w:t>
      </w:r>
      <w:r w:rsidRPr="009D4F71">
        <w:rPr>
          <w:bCs/>
        </w:rPr>
        <w:t xml:space="preserve">28.9% (13/45) </w:t>
      </w:r>
      <w:r>
        <w:rPr>
          <w:bCs/>
        </w:rPr>
        <w:t xml:space="preserve">of females had </w:t>
      </w:r>
      <w:r w:rsidRPr="009D4F71">
        <w:rPr>
          <w:bCs/>
        </w:rPr>
        <w:t xml:space="preserve">primary amenorrhea, 16.7% (6/36) </w:t>
      </w:r>
      <w:r>
        <w:rPr>
          <w:bCs/>
        </w:rPr>
        <w:t>had</w:t>
      </w:r>
      <w:r w:rsidRPr="009D4F71">
        <w:rPr>
          <w:bCs/>
        </w:rPr>
        <w:t xml:space="preserve"> secondary amenorrhea,</w:t>
      </w:r>
      <w:r>
        <w:rPr>
          <w:bCs/>
        </w:rPr>
        <w:t xml:space="preserve"> and</w:t>
      </w:r>
      <w:r w:rsidRPr="009D4F71">
        <w:rPr>
          <w:bCs/>
        </w:rPr>
        <w:t xml:space="preserve"> 36.1% (13/36) had irregular menstrual cycle</w:t>
      </w:r>
      <w:r>
        <w:rPr>
          <w:bCs/>
        </w:rPr>
        <w:t>. From the total sample</w:t>
      </w:r>
      <w:r w:rsidRPr="009D4F71">
        <w:rPr>
          <w:bCs/>
        </w:rPr>
        <w:t xml:space="preserve"> 8.5% (15/177) were severely short stature, 27.1% (48/177) were mild short stature, </w:t>
      </w:r>
      <w:r>
        <w:rPr>
          <w:bCs/>
        </w:rPr>
        <w:t xml:space="preserve">and </w:t>
      </w:r>
      <w:r w:rsidRPr="009D4F71">
        <w:rPr>
          <w:bCs/>
        </w:rPr>
        <w:t>64.4% (114/177) were normal height</w:t>
      </w:r>
      <w:r>
        <w:rPr>
          <w:bCs/>
        </w:rPr>
        <w:t>.</w:t>
      </w:r>
      <w:r w:rsidRPr="009D4F71">
        <w:rPr>
          <w:bCs/>
        </w:rPr>
        <w:t xml:space="preserve"> </w:t>
      </w:r>
      <w:r w:rsidRPr="00B0422F">
        <w:rPr>
          <w:bCs/>
        </w:rPr>
        <w:t xml:space="preserve">According to BMI </w:t>
      </w:r>
      <w:r w:rsidRPr="009D4F71">
        <w:rPr>
          <w:bCs/>
        </w:rPr>
        <w:t>5.6% (10/177) were wasted</w:t>
      </w:r>
      <w:r>
        <w:rPr>
          <w:bCs/>
        </w:rPr>
        <w:t xml:space="preserve">, </w:t>
      </w:r>
      <w:r w:rsidRPr="009D4F71">
        <w:rPr>
          <w:bCs/>
        </w:rPr>
        <w:t>4% (7/177) were overweight, and 90.4% (160/177) were normal weight.</w:t>
      </w:r>
      <w:r>
        <w:rPr>
          <w:bCs/>
        </w:rPr>
        <w:t xml:space="preserve"> </w:t>
      </w:r>
      <w:r w:rsidRPr="00680673">
        <w:rPr>
          <w:bCs/>
        </w:rPr>
        <w:t>Pubert</w:t>
      </w:r>
      <w:r>
        <w:rPr>
          <w:bCs/>
        </w:rPr>
        <w:t>al</w:t>
      </w:r>
      <w:r w:rsidRPr="00680673">
        <w:rPr>
          <w:bCs/>
        </w:rPr>
        <w:t xml:space="preserve"> development signs</w:t>
      </w:r>
      <w:r>
        <w:rPr>
          <w:bCs/>
        </w:rPr>
        <w:t xml:space="preserve"> development</w:t>
      </w:r>
      <w:r w:rsidRPr="00680673">
        <w:rPr>
          <w:bCs/>
        </w:rPr>
        <w:t>,</w:t>
      </w:r>
      <w:r>
        <w:rPr>
          <w:bCs/>
        </w:rPr>
        <w:t xml:space="preserve"> testicular volume development,</w:t>
      </w:r>
      <w:r w:rsidRPr="00680673">
        <w:rPr>
          <w:bCs/>
        </w:rPr>
        <w:t xml:space="preserve"> primary and secondary amenorrhea,</w:t>
      </w:r>
      <w:r>
        <w:rPr>
          <w:bCs/>
        </w:rPr>
        <w:t xml:space="preserve"> menstrual cycle regularity, </w:t>
      </w:r>
      <w:r w:rsidRPr="00680673">
        <w:rPr>
          <w:bCs/>
        </w:rPr>
        <w:t>height growth, and BMI were no</w:t>
      </w:r>
      <w:r>
        <w:rPr>
          <w:bCs/>
        </w:rPr>
        <w:t>t</w:t>
      </w:r>
      <w:r w:rsidRPr="00680673">
        <w:rPr>
          <w:bCs/>
        </w:rPr>
        <w:t xml:space="preserve"> significantly associated with mean serum ferritin level (P-value</w:t>
      </w:r>
      <w:r>
        <w:rPr>
          <w:bCs/>
        </w:rPr>
        <w:t xml:space="preserve"> </w:t>
      </w:r>
      <w:r w:rsidRPr="00680673">
        <w:rPr>
          <w:bCs/>
        </w:rPr>
        <w:t>&gt;</w:t>
      </w:r>
      <w:r>
        <w:rPr>
          <w:bCs/>
        </w:rPr>
        <w:t xml:space="preserve"> </w:t>
      </w:r>
      <w:r w:rsidRPr="00680673">
        <w:rPr>
          <w:bCs/>
        </w:rPr>
        <w:t>0.05).</w:t>
      </w:r>
    </w:p>
    <w:p w14:paraId="2D5A0B94" w14:textId="5B331331" w:rsidR="000C6C26" w:rsidRPr="00C7101F" w:rsidRDefault="000C6C26" w:rsidP="003828EA">
      <w:pPr>
        <w:pStyle w:val="BodyText"/>
        <w:spacing w:before="75"/>
        <w:ind w:left="0" w:firstLine="0"/>
        <w:rPr>
          <w:bCs/>
          <w:lang w:bidi="ar-JO"/>
        </w:rPr>
      </w:pPr>
      <w:r w:rsidRPr="000C6C26">
        <w:rPr>
          <w:bCs/>
        </w:rPr>
        <w:t>In c</w:t>
      </w:r>
      <w:r w:rsidRPr="000C6C26">
        <w:rPr>
          <w:bCs/>
        </w:rPr>
        <w:t xml:space="preserve">onclusion </w:t>
      </w:r>
      <w:r w:rsidRPr="000C6C26">
        <w:rPr>
          <w:bCs/>
        </w:rPr>
        <w:t>e</w:t>
      </w:r>
      <w:r w:rsidRPr="000C6C26">
        <w:rPr>
          <w:bCs/>
        </w:rPr>
        <w:t>arly detection and prevention of growth retardation among thalassemia</w:t>
      </w:r>
      <w:r w:rsidRPr="007118C8">
        <w:rPr>
          <w:bCs/>
        </w:rPr>
        <w:t xml:space="preserve"> patients </w:t>
      </w:r>
      <w:r>
        <w:rPr>
          <w:bCs/>
        </w:rPr>
        <w:t>are</w:t>
      </w:r>
      <w:r w:rsidRPr="007118C8">
        <w:rPr>
          <w:bCs/>
        </w:rPr>
        <w:t xml:space="preserve"> mandatory for the enhancement of their quality of life</w:t>
      </w:r>
      <w:r w:rsidRPr="007118C8">
        <w:rPr>
          <w:bCs/>
          <w:lang w:bidi="ar-JO"/>
        </w:rPr>
        <w:t xml:space="preserve">. Also, serum ferritin falsely rises in some conditions. </w:t>
      </w:r>
    </w:p>
    <w:p w14:paraId="21BAA0B9" w14:textId="4B82F7AE" w:rsidR="000C6C26" w:rsidRDefault="000C6C26" w:rsidP="00781F61">
      <w:pPr>
        <w:jc w:val="center"/>
        <w:rPr>
          <w:lang w:bidi="ar-JO"/>
        </w:rPr>
      </w:pPr>
    </w:p>
    <w:p w14:paraId="7A64B370" w14:textId="05D26E2C" w:rsidR="000C6C26" w:rsidRDefault="007A184B" w:rsidP="007A184B">
      <w:pPr>
        <w:rPr>
          <w:b/>
          <w:bCs/>
          <w:lang w:bidi="ar-JO"/>
        </w:rPr>
      </w:pPr>
      <w:r w:rsidRPr="007A184B">
        <w:rPr>
          <w:b/>
          <w:bCs/>
          <w:lang w:bidi="ar-JO"/>
        </w:rPr>
        <w:t>Biography</w:t>
      </w:r>
    </w:p>
    <w:p w14:paraId="74D943EE" w14:textId="4E0FF945" w:rsidR="007A184B" w:rsidRDefault="007A184B" w:rsidP="007A184B">
      <w:pPr>
        <w:rPr>
          <w:b/>
          <w:bCs/>
          <w:lang w:bidi="ar-JO"/>
        </w:rPr>
      </w:pPr>
    </w:p>
    <w:p w14:paraId="3506E770" w14:textId="59DAD2E8" w:rsidR="0087612D" w:rsidRDefault="007A184B" w:rsidP="0087612D">
      <w:pPr>
        <w:jc w:val="both"/>
      </w:pPr>
      <w:r w:rsidRPr="0087612D">
        <w:rPr>
          <w:lang w:bidi="ar-JO"/>
        </w:rPr>
        <w:t>Huda Gharaibeh</w:t>
      </w:r>
      <w:r w:rsidR="0087612D" w:rsidRPr="0087612D">
        <w:rPr>
          <w:lang w:bidi="ar-JO"/>
        </w:rPr>
        <w:t xml:space="preserve"> has completed her </w:t>
      </w:r>
      <w:proofErr w:type="spellStart"/>
      <w:proofErr w:type="gramStart"/>
      <w:r w:rsidR="0087612D" w:rsidRPr="0087612D">
        <w:rPr>
          <w:lang w:eastAsia="ar-SA"/>
        </w:rPr>
        <w:t>Ph.D</w:t>
      </w:r>
      <w:proofErr w:type="spellEnd"/>
      <w:proofErr w:type="gramEnd"/>
      <w:r w:rsidR="0087612D">
        <w:rPr>
          <w:lang w:eastAsia="ar-SA"/>
        </w:rPr>
        <w:t xml:space="preserve"> from </w:t>
      </w:r>
      <w:r w:rsidR="0087612D" w:rsidRPr="0087612D">
        <w:rPr>
          <w:lang w:eastAsia="ar-SA"/>
        </w:rPr>
        <w:t>University of Ulster/UK</w:t>
      </w:r>
      <w:r w:rsidR="00DD05C4">
        <w:rPr>
          <w:lang w:eastAsia="ar-SA"/>
        </w:rPr>
        <w:t xml:space="preserve"> / </w:t>
      </w:r>
      <w:r w:rsidR="0087612D">
        <w:rPr>
          <w:lang w:eastAsia="ar-SA"/>
        </w:rPr>
        <w:t xml:space="preserve">school of </w:t>
      </w:r>
      <w:r w:rsidR="00BA0A96">
        <w:rPr>
          <w:lang w:eastAsia="ar-SA"/>
        </w:rPr>
        <w:t>Nursing</w:t>
      </w:r>
      <w:r w:rsidR="003828EA">
        <w:rPr>
          <w:lang w:eastAsia="ar-SA"/>
        </w:rPr>
        <w:t xml:space="preserve">. She is </w:t>
      </w:r>
      <w:r w:rsidR="003828EA" w:rsidRPr="003828EA">
        <w:t xml:space="preserve">Professor </w:t>
      </w:r>
      <w:r w:rsidR="003828EA">
        <w:t>at</w:t>
      </w:r>
      <w:r w:rsidR="003828EA" w:rsidRPr="003828EA">
        <w:t xml:space="preserve"> </w:t>
      </w:r>
      <w:r w:rsidR="003828EA">
        <w:t>m</w:t>
      </w:r>
      <w:r w:rsidR="003828EA" w:rsidRPr="003828EA">
        <w:t xml:space="preserve">aternal- child health and </w:t>
      </w:r>
      <w:r w:rsidR="003828EA">
        <w:t>m</w:t>
      </w:r>
      <w:r w:rsidR="003828EA" w:rsidRPr="003828EA">
        <w:t xml:space="preserve">idwifery Department /Faculty of Nursing, </w:t>
      </w:r>
      <w:r w:rsidR="003828EA" w:rsidRPr="00450C30">
        <w:t>Jordan University of Science and Technology.</w:t>
      </w:r>
      <w:r w:rsidR="00450C30" w:rsidRPr="00450C30">
        <w:t xml:space="preserve"> Worked as </w:t>
      </w:r>
      <w:r w:rsidR="00450C30">
        <w:t xml:space="preserve">a Dean and </w:t>
      </w:r>
      <w:r w:rsidR="00450C30">
        <w:rPr>
          <w:color w:val="000000"/>
          <w:shd w:val="clear" w:color="auto" w:fill="FFFFFF"/>
        </w:rPr>
        <w:t>d</w:t>
      </w:r>
      <w:r w:rsidR="00450C30" w:rsidRPr="00450C30">
        <w:rPr>
          <w:color w:val="000000"/>
          <w:shd w:val="clear" w:color="auto" w:fill="FFFFFF"/>
        </w:rPr>
        <w:t>irector of </w:t>
      </w:r>
      <w:r w:rsidR="00450C30" w:rsidRPr="00450C30">
        <w:t xml:space="preserve"> </w:t>
      </w:r>
      <w:r w:rsidR="00450C30" w:rsidRPr="00450C30">
        <w:t>WHO - Collaborating Centre for Nursing Development-Faculty of Nursing /Jordan University of Science and Technology</w:t>
      </w:r>
      <w:r w:rsidR="00BC016A">
        <w:t xml:space="preserve"> from</w:t>
      </w:r>
      <w:r w:rsidR="00450C30" w:rsidRPr="00450C30">
        <w:t xml:space="preserve"> 2017-2021</w:t>
      </w:r>
      <w:r w:rsidR="00450C30">
        <w:t>. She has published more than 30 papers in reputed journals.</w:t>
      </w:r>
    </w:p>
    <w:p w14:paraId="30EA9ED7" w14:textId="33DC66B6" w:rsidR="00BC016A" w:rsidRDefault="00BC016A" w:rsidP="0087612D">
      <w:pPr>
        <w:jc w:val="both"/>
      </w:pPr>
    </w:p>
    <w:p w14:paraId="295D2E55" w14:textId="3B7EBABB" w:rsidR="00BC016A" w:rsidRPr="00BC016A" w:rsidRDefault="00BC016A" w:rsidP="0087612D">
      <w:pPr>
        <w:jc w:val="both"/>
        <w:rPr>
          <w:b/>
          <w:bCs/>
        </w:rPr>
      </w:pPr>
      <w:r w:rsidRPr="00BC016A">
        <w:rPr>
          <w:b/>
          <w:bCs/>
        </w:rPr>
        <w:t xml:space="preserve">Presenter author </w:t>
      </w:r>
      <w:proofErr w:type="spellStart"/>
      <w:r w:rsidRPr="00BC016A">
        <w:rPr>
          <w:b/>
          <w:bCs/>
        </w:rPr>
        <w:t>detailes</w:t>
      </w:r>
      <w:proofErr w:type="spellEnd"/>
    </w:p>
    <w:p w14:paraId="4F98A304" w14:textId="3B95C73C" w:rsidR="00450C30" w:rsidRDefault="00450C30" w:rsidP="0087612D">
      <w:pPr>
        <w:jc w:val="both"/>
      </w:pPr>
      <w:r>
        <w:t xml:space="preserve"> Full Name: Huda Fala</w:t>
      </w:r>
      <w:r w:rsidR="00BC016A">
        <w:t xml:space="preserve">h </w:t>
      </w:r>
      <w:proofErr w:type="spellStart"/>
      <w:r>
        <w:t>Ghaaraibeh</w:t>
      </w:r>
      <w:proofErr w:type="spellEnd"/>
    </w:p>
    <w:p w14:paraId="4CB6D1EE" w14:textId="7C091F8F" w:rsidR="00450C30" w:rsidRDefault="00450C30" w:rsidP="0087612D">
      <w:pPr>
        <w:jc w:val="both"/>
      </w:pPr>
      <w:r>
        <w:t>Contact number: 0096227957562275</w:t>
      </w:r>
    </w:p>
    <w:p w14:paraId="050CBE31" w14:textId="376A0F2E" w:rsidR="00BC016A" w:rsidRPr="003828EA" w:rsidRDefault="00BC016A" w:rsidP="0087612D">
      <w:pPr>
        <w:jc w:val="both"/>
        <w:rPr>
          <w:lang w:eastAsia="ar-SA"/>
        </w:rPr>
      </w:pPr>
      <w:r>
        <w:t>Oral presentation</w:t>
      </w:r>
    </w:p>
    <w:p w14:paraId="55DAB6FD" w14:textId="64E984AF" w:rsidR="007A184B" w:rsidRPr="003828EA" w:rsidRDefault="007A184B" w:rsidP="0087612D">
      <w:pPr>
        <w:jc w:val="both"/>
        <w:rPr>
          <w:lang w:eastAsia="ar-SA"/>
        </w:rPr>
      </w:pPr>
    </w:p>
    <w:sectPr w:rsidR="007A184B" w:rsidRPr="003828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61"/>
    <w:rsid w:val="000C6C26"/>
    <w:rsid w:val="00180AFF"/>
    <w:rsid w:val="003828EA"/>
    <w:rsid w:val="00450C30"/>
    <w:rsid w:val="00781F61"/>
    <w:rsid w:val="007A184B"/>
    <w:rsid w:val="0087612D"/>
    <w:rsid w:val="00BA0A96"/>
    <w:rsid w:val="00BC016A"/>
    <w:rsid w:val="00DD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655E1"/>
  <w15:chartTrackingRefBased/>
  <w15:docId w15:val="{812D7296-3DB7-4B31-8AAC-CA598EC44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C6C26"/>
    <w:pPr>
      <w:ind w:left="2059" w:hanging="720"/>
      <w:jc w:val="both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C6C26"/>
    <w:rPr>
      <w:rFonts w:ascii="Times New Roman" w:eastAsia="Times New Roman" w:hAnsi="Times New Roman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huda-gharaibeh@outlook.com</dc:creator>
  <cp:keywords/>
  <dc:description/>
  <cp:lastModifiedBy>huda-gharaibeh@outlook.com</cp:lastModifiedBy>
  <cp:revision>1</cp:revision>
  <dcterms:created xsi:type="dcterms:W3CDTF">2022-05-30T09:58:00Z</dcterms:created>
  <dcterms:modified xsi:type="dcterms:W3CDTF">2022-05-30T11:02:00Z</dcterms:modified>
</cp:coreProperties>
</file>