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5B1103" w:rsidP="00494130">
      <w:pPr>
        <w:pStyle w:val="Heading1"/>
        <w:spacing w:before="170"/>
        <w:ind w:left="0"/>
      </w:pPr>
      <w:r>
        <w:rPr>
          <w:color w:val="337AB7"/>
        </w:rPr>
        <w:t>The emerging role of the mitochondrial fatty-acid synthase (</w:t>
      </w:r>
      <w:proofErr w:type="spellStart"/>
      <w:r>
        <w:rPr>
          <w:color w:val="337AB7"/>
        </w:rPr>
        <w:t>mtFASII</w:t>
      </w:r>
      <w:proofErr w:type="spellEnd"/>
      <w:r>
        <w:rPr>
          <w:color w:val="337AB7"/>
        </w:rPr>
        <w:t>) in the regulation of energy metabolism</w:t>
      </w:r>
    </w:p>
    <w:p w:rsidR="005B1103" w:rsidRPr="005B1103" w:rsidRDefault="005B1103" w:rsidP="005B1103">
      <w:pPr>
        <w:pStyle w:val="BodyText"/>
        <w:spacing w:before="73" w:line="198" w:lineRule="exact"/>
        <w:ind w:left="100" w:right="5987"/>
        <w:rPr>
          <w:szCs w:val="24"/>
        </w:rPr>
      </w:pPr>
      <w:r w:rsidRPr="005B1103">
        <w:rPr>
          <w:b/>
          <w:szCs w:val="24"/>
        </w:rPr>
        <w:t>Zeinab Wehbe</w:t>
      </w:r>
      <w:r w:rsidR="005973B9" w:rsidRPr="005B1103">
        <w:rPr>
          <w:szCs w:val="24"/>
        </w:rPr>
        <w:t xml:space="preserve">, PhD, </w:t>
      </w:r>
      <w:r w:rsidRPr="005B1103">
        <w:rPr>
          <w:szCs w:val="24"/>
        </w:rPr>
        <w:t>Department of Pe</w:t>
      </w:r>
      <w:r w:rsidRPr="005B1103">
        <w:rPr>
          <w:szCs w:val="24"/>
        </w:rPr>
        <w:t xml:space="preserve">diatric Hematology and Oncology, </w:t>
      </w:r>
      <w:r w:rsidRPr="005B1103">
        <w:rPr>
          <w:szCs w:val="24"/>
        </w:rPr>
        <w:t>Center of Pediatric and Ado</w:t>
      </w:r>
      <w:r w:rsidRPr="005B1103">
        <w:rPr>
          <w:szCs w:val="24"/>
        </w:rPr>
        <w:t xml:space="preserve">lescent Medicine-Medical Center, </w:t>
      </w:r>
      <w:r w:rsidRPr="005B1103">
        <w:rPr>
          <w:szCs w:val="24"/>
        </w:rPr>
        <w:t>University of Freiburg</w:t>
      </w:r>
    </w:p>
    <w:p w:rsidR="005973B9" w:rsidRDefault="005B1103" w:rsidP="005973B9">
      <w:pPr>
        <w:pStyle w:val="BodyText"/>
        <w:spacing w:before="73" w:line="198" w:lineRule="exact"/>
        <w:ind w:left="100" w:right="5987"/>
        <w:rPr>
          <w:rFonts w:ascii="Arial"/>
        </w:rPr>
      </w:pPr>
      <w:r w:rsidRPr="0056738E">
        <w:rPr>
          <w:rFonts w:ascii="Arial"/>
          <w:b/>
        </w:rPr>
        <w:t>Sara Tucci</w:t>
      </w:r>
      <w:r w:rsidR="005973B9">
        <w:rPr>
          <w:rFonts w:ascii="Arial"/>
        </w:rPr>
        <w:t xml:space="preserve">, </w:t>
      </w:r>
      <w:r>
        <w:rPr>
          <w:rFonts w:ascii="Arial"/>
        </w:rPr>
        <w:t xml:space="preserve">PhD, </w:t>
      </w:r>
      <w:r w:rsidRPr="0021492B">
        <w:rPr>
          <w:szCs w:val="24"/>
        </w:rPr>
        <w:t>Laborato</w:t>
      </w:r>
      <w:r>
        <w:rPr>
          <w:szCs w:val="24"/>
        </w:rPr>
        <w:t xml:space="preserve">ry of Clinical Biochemistry and </w:t>
      </w:r>
      <w:r w:rsidRPr="0021492B">
        <w:rPr>
          <w:szCs w:val="24"/>
        </w:rPr>
        <w:t>Metabolism, Center for Pediatric and Adolescent Medicine, Medical Center- University of Freiburg, Germany</w:t>
      </w:r>
    </w:p>
    <w:p w:rsidR="005B1103" w:rsidRDefault="005B1103" w:rsidP="005973B9">
      <w:pPr>
        <w:pStyle w:val="BodyText"/>
        <w:spacing w:before="73" w:line="198" w:lineRule="exact"/>
        <w:ind w:left="100" w:right="5987"/>
        <w:rPr>
          <w:rFonts w:ascii="Arial"/>
        </w:rPr>
      </w:pPr>
      <w:r w:rsidRPr="0056738E">
        <w:rPr>
          <w:rFonts w:ascii="Arial"/>
          <w:b/>
        </w:rPr>
        <w:t>Khaled Alatibi</w:t>
      </w:r>
      <w:r>
        <w:rPr>
          <w:rFonts w:ascii="Arial"/>
        </w:rPr>
        <w:t xml:space="preserve">, M.Sc. </w:t>
      </w:r>
      <w:r w:rsidRPr="0021492B">
        <w:rPr>
          <w:szCs w:val="24"/>
        </w:rPr>
        <w:t xml:space="preserve">Laboratory of Clinical Biochemistry and Metabolism, Center for </w:t>
      </w:r>
      <w:r w:rsidRPr="005B1103">
        <w:rPr>
          <w:szCs w:val="24"/>
        </w:rPr>
        <w:t xml:space="preserve">Pediatric </w:t>
      </w:r>
      <w:r w:rsidRPr="005B1103">
        <w:rPr>
          <w:rFonts w:ascii="Arial"/>
        </w:rPr>
        <w:t>and</w:t>
      </w:r>
      <w:r w:rsidRPr="0021492B">
        <w:rPr>
          <w:szCs w:val="24"/>
        </w:rPr>
        <w:t xml:space="preserve"> Adolescent Medicine, Medical Center- University of Freiburg, Germany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5B1103" w:rsidRPr="005B1103" w:rsidRDefault="005B1103" w:rsidP="005B1103">
      <w:pPr>
        <w:pStyle w:val="Heading3"/>
        <w:spacing w:before="74"/>
        <w:rPr>
          <w:rFonts w:ascii="Tw Cen MT" w:eastAsia="Tw Cen MT" w:hAnsi="Tw Cen MT" w:cs="Tw Cen MT"/>
          <w:b w:val="0"/>
          <w:bCs w:val="0"/>
          <w:sz w:val="18"/>
          <w:szCs w:val="18"/>
        </w:rPr>
      </w:pPr>
      <w:proofErr w:type="spellStart"/>
      <w:r w:rsidRPr="005B1103">
        <w:rPr>
          <w:rFonts w:ascii="Tw Cen MT" w:eastAsia="Tw Cen MT" w:hAnsi="Tw Cen MT" w:cs="Tw Cen MT"/>
          <w:b w:val="0"/>
          <w:bCs w:val="0"/>
          <w:sz w:val="18"/>
          <w:szCs w:val="18"/>
        </w:rPr>
        <w:t>Malonyl</w:t>
      </w:r>
      <w:proofErr w:type="spellEnd"/>
      <w:r w:rsidRPr="005B1103">
        <w:rPr>
          <w:rFonts w:ascii="Tw Cen MT" w:eastAsia="Tw Cen MT" w:hAnsi="Tw Cen MT" w:cs="Tw Cen MT"/>
          <w:b w:val="0"/>
          <w:bCs w:val="0"/>
          <w:sz w:val="18"/>
          <w:szCs w:val="18"/>
        </w:rPr>
        <w:t xml:space="preserve">-CoA </w:t>
      </w:r>
      <w:proofErr w:type="spellStart"/>
      <w:r w:rsidRPr="005B1103">
        <w:rPr>
          <w:rFonts w:ascii="Tw Cen MT" w:eastAsia="Tw Cen MT" w:hAnsi="Tw Cen MT" w:cs="Tw Cen MT"/>
          <w:b w:val="0"/>
          <w:bCs w:val="0"/>
          <w:sz w:val="18"/>
          <w:szCs w:val="18"/>
        </w:rPr>
        <w:t>synthetase</w:t>
      </w:r>
      <w:proofErr w:type="spellEnd"/>
      <w:r w:rsidRPr="005B1103">
        <w:rPr>
          <w:rFonts w:ascii="Tw Cen MT" w:eastAsia="Tw Cen MT" w:hAnsi="Tw Cen MT" w:cs="Tw Cen MT"/>
          <w:b w:val="0"/>
          <w:bCs w:val="0"/>
          <w:sz w:val="18"/>
          <w:szCs w:val="18"/>
        </w:rPr>
        <w:t xml:space="preserve"> (ACSF3 gene product) catalyzes the first step of the mitochondrial fatty acid biosynthesis (</w:t>
      </w:r>
      <w:proofErr w:type="spellStart"/>
      <w:r w:rsidRPr="005B1103">
        <w:rPr>
          <w:rFonts w:ascii="Tw Cen MT" w:eastAsia="Tw Cen MT" w:hAnsi="Tw Cen MT" w:cs="Tw Cen MT"/>
          <w:b w:val="0"/>
          <w:bCs w:val="0"/>
          <w:sz w:val="18"/>
          <w:szCs w:val="18"/>
        </w:rPr>
        <w:t>mFASII</w:t>
      </w:r>
      <w:proofErr w:type="spellEnd"/>
      <w:r w:rsidRPr="005B1103">
        <w:rPr>
          <w:rFonts w:ascii="Tw Cen MT" w:eastAsia="Tw Cen MT" w:hAnsi="Tw Cen MT" w:cs="Tw Cen MT"/>
          <w:b w:val="0"/>
          <w:bCs w:val="0"/>
          <w:sz w:val="18"/>
          <w:szCs w:val="18"/>
        </w:rPr>
        <w:t xml:space="preserve">). Mutations in ACSF3 cause CMAMMA a rare inborn error of metabolism. The clinical phenotype is very heterogeneous, with some patients presenting with neurologic manifestations. In some children, presenting symptoms such as coma, ketoacidosis and hypoglycemia are suggestive of an intermediary metabolic disorder. This may indicate a role for </w:t>
      </w:r>
      <w:proofErr w:type="spellStart"/>
      <w:r w:rsidRPr="005B1103">
        <w:rPr>
          <w:rFonts w:ascii="Tw Cen MT" w:eastAsia="Tw Cen MT" w:hAnsi="Tw Cen MT" w:cs="Tw Cen MT"/>
          <w:b w:val="0"/>
          <w:bCs w:val="0"/>
          <w:sz w:val="18"/>
          <w:szCs w:val="18"/>
        </w:rPr>
        <w:t>mFASII</w:t>
      </w:r>
      <w:proofErr w:type="spellEnd"/>
      <w:r w:rsidRPr="005B1103">
        <w:rPr>
          <w:rFonts w:ascii="Tw Cen MT" w:eastAsia="Tw Cen MT" w:hAnsi="Tw Cen MT" w:cs="Tw Cen MT"/>
          <w:b w:val="0"/>
          <w:bCs w:val="0"/>
          <w:sz w:val="18"/>
          <w:szCs w:val="18"/>
        </w:rPr>
        <w:t xml:space="preserve"> in the regulation of energy homeostasis and metabolic flexibility. </w:t>
      </w:r>
    </w:p>
    <w:p w:rsidR="005B1103" w:rsidRPr="005B1103" w:rsidRDefault="005B1103" w:rsidP="005B1103">
      <w:pPr>
        <w:pStyle w:val="Heading3"/>
        <w:spacing w:before="74"/>
        <w:rPr>
          <w:rFonts w:ascii="Tw Cen MT" w:eastAsia="Tw Cen MT" w:hAnsi="Tw Cen MT" w:cs="Tw Cen MT"/>
          <w:b w:val="0"/>
          <w:bCs w:val="0"/>
          <w:sz w:val="18"/>
          <w:szCs w:val="18"/>
        </w:rPr>
      </w:pPr>
      <w:r w:rsidRPr="005B1103">
        <w:rPr>
          <w:rFonts w:ascii="Tw Cen MT" w:eastAsia="Tw Cen MT" w:hAnsi="Tw Cen MT" w:cs="Tw Cen MT"/>
          <w:b w:val="0"/>
          <w:bCs w:val="0"/>
          <w:sz w:val="18"/>
          <w:szCs w:val="18"/>
        </w:rPr>
        <w:t xml:space="preserve">We have performed comprehensive metabolic phenotyping, SILAC-based proteomics and </w:t>
      </w:r>
      <w:proofErr w:type="spellStart"/>
      <w:r w:rsidRPr="005B1103">
        <w:rPr>
          <w:rFonts w:ascii="Tw Cen MT" w:eastAsia="Tw Cen MT" w:hAnsi="Tw Cen MT" w:cs="Tw Cen MT"/>
          <w:b w:val="0"/>
          <w:bCs w:val="0"/>
          <w:sz w:val="18"/>
          <w:szCs w:val="18"/>
        </w:rPr>
        <w:t>lipidomics</w:t>
      </w:r>
      <w:proofErr w:type="spellEnd"/>
      <w:r w:rsidRPr="005B1103">
        <w:rPr>
          <w:rFonts w:ascii="Tw Cen MT" w:eastAsia="Tw Cen MT" w:hAnsi="Tw Cen MT" w:cs="Tw Cen MT"/>
          <w:b w:val="0"/>
          <w:bCs w:val="0"/>
          <w:sz w:val="18"/>
          <w:szCs w:val="18"/>
        </w:rPr>
        <w:t xml:space="preserve"> in fibroblasts from CMAMMA patients in order to investigate the role of </w:t>
      </w:r>
      <w:proofErr w:type="spellStart"/>
      <w:r w:rsidRPr="005B1103">
        <w:rPr>
          <w:rFonts w:ascii="Tw Cen MT" w:eastAsia="Tw Cen MT" w:hAnsi="Tw Cen MT" w:cs="Tw Cen MT"/>
          <w:b w:val="0"/>
          <w:bCs w:val="0"/>
          <w:sz w:val="18"/>
          <w:szCs w:val="18"/>
        </w:rPr>
        <w:t>mFASII</w:t>
      </w:r>
      <w:proofErr w:type="spellEnd"/>
      <w:r w:rsidRPr="005B1103">
        <w:rPr>
          <w:rFonts w:ascii="Tw Cen MT" w:eastAsia="Tw Cen MT" w:hAnsi="Tw Cen MT" w:cs="Tw Cen MT"/>
          <w:b w:val="0"/>
          <w:bCs w:val="0"/>
          <w:sz w:val="18"/>
          <w:szCs w:val="18"/>
        </w:rPr>
        <w:t xml:space="preserve"> in the regulation of mitochondrial energy regulation. </w:t>
      </w:r>
    </w:p>
    <w:p w:rsidR="005B1103" w:rsidRPr="005B1103" w:rsidRDefault="005B1103" w:rsidP="005B1103">
      <w:pPr>
        <w:pStyle w:val="Heading3"/>
        <w:spacing w:before="74"/>
        <w:rPr>
          <w:rFonts w:ascii="Tw Cen MT" w:eastAsia="Tw Cen MT" w:hAnsi="Tw Cen MT" w:cs="Tw Cen MT"/>
          <w:b w:val="0"/>
          <w:bCs w:val="0"/>
          <w:sz w:val="18"/>
          <w:szCs w:val="18"/>
        </w:rPr>
      </w:pPr>
      <w:r w:rsidRPr="005B1103">
        <w:rPr>
          <w:rFonts w:ascii="Tw Cen MT" w:eastAsia="Tw Cen MT" w:hAnsi="Tw Cen MT" w:cs="Tw Cen MT"/>
          <w:b w:val="0"/>
          <w:bCs w:val="0"/>
          <w:sz w:val="18"/>
          <w:szCs w:val="18"/>
        </w:rPr>
        <w:t xml:space="preserve">Mutations in ACSF3 resulted in reduced mitochondrial respiration and glycolysis due a lower </w:t>
      </w:r>
      <w:proofErr w:type="spellStart"/>
      <w:r w:rsidRPr="005B1103">
        <w:rPr>
          <w:rFonts w:ascii="Tw Cen MT" w:eastAsia="Tw Cen MT" w:hAnsi="Tw Cen MT" w:cs="Tw Cen MT"/>
          <w:b w:val="0"/>
          <w:bCs w:val="0"/>
          <w:sz w:val="18"/>
          <w:szCs w:val="18"/>
        </w:rPr>
        <w:t>lipoylation</w:t>
      </w:r>
      <w:proofErr w:type="spellEnd"/>
      <w:r w:rsidRPr="005B1103">
        <w:rPr>
          <w:rFonts w:ascii="Tw Cen MT" w:eastAsia="Tw Cen MT" w:hAnsi="Tw Cen MT" w:cs="Tw Cen MT"/>
          <w:b w:val="0"/>
          <w:bCs w:val="0"/>
          <w:sz w:val="18"/>
          <w:szCs w:val="18"/>
        </w:rPr>
        <w:t xml:space="preserve"> degree. In contrast, fatty acid oxidation was upregulated as compensatory mechanism to address the required energy need. The concentration of ceramides and phospholipids was also significantly reduced in patient fibroblasts whereas we observed a significant up-regulation of sphingomyelin and </w:t>
      </w:r>
      <w:proofErr w:type="spellStart"/>
      <w:r w:rsidRPr="005B1103">
        <w:rPr>
          <w:rFonts w:ascii="Tw Cen MT" w:eastAsia="Tw Cen MT" w:hAnsi="Tw Cen MT" w:cs="Tw Cen MT"/>
          <w:b w:val="0"/>
          <w:bCs w:val="0"/>
          <w:sz w:val="18"/>
          <w:szCs w:val="18"/>
        </w:rPr>
        <w:t>cardiolipins</w:t>
      </w:r>
      <w:proofErr w:type="spellEnd"/>
      <w:r w:rsidRPr="005B1103">
        <w:rPr>
          <w:rFonts w:ascii="Tw Cen MT" w:eastAsia="Tw Cen MT" w:hAnsi="Tw Cen MT" w:cs="Tw Cen MT"/>
          <w:b w:val="0"/>
          <w:bCs w:val="0"/>
          <w:sz w:val="18"/>
          <w:szCs w:val="18"/>
        </w:rPr>
        <w:t xml:space="preserve"> with subsequent shift of the fatty acids species. </w:t>
      </w:r>
    </w:p>
    <w:p w:rsidR="00AE3E37" w:rsidRDefault="005B1103" w:rsidP="005B1103">
      <w:pPr>
        <w:pStyle w:val="Heading3"/>
        <w:spacing w:before="74"/>
      </w:pPr>
      <w:r w:rsidRPr="005B1103">
        <w:rPr>
          <w:rFonts w:ascii="Tw Cen MT" w:eastAsia="Tw Cen MT" w:hAnsi="Tw Cen MT" w:cs="Tw Cen MT"/>
          <w:b w:val="0"/>
          <w:bCs w:val="0"/>
          <w:sz w:val="18"/>
          <w:szCs w:val="18"/>
        </w:rPr>
        <w:t xml:space="preserve">Our studies in fibroblasts showed that </w:t>
      </w:r>
      <w:proofErr w:type="spellStart"/>
      <w:r w:rsidRPr="005B1103">
        <w:rPr>
          <w:rFonts w:ascii="Tw Cen MT" w:eastAsia="Tw Cen MT" w:hAnsi="Tw Cen MT" w:cs="Tw Cen MT"/>
          <w:b w:val="0"/>
          <w:bCs w:val="0"/>
          <w:sz w:val="18"/>
          <w:szCs w:val="18"/>
        </w:rPr>
        <w:t>mFASII</w:t>
      </w:r>
      <w:proofErr w:type="spellEnd"/>
      <w:r w:rsidRPr="005B1103">
        <w:rPr>
          <w:rFonts w:ascii="Tw Cen MT" w:eastAsia="Tw Cen MT" w:hAnsi="Tw Cen MT" w:cs="Tw Cen MT"/>
          <w:b w:val="0"/>
          <w:bCs w:val="0"/>
          <w:sz w:val="18"/>
          <w:szCs w:val="18"/>
        </w:rPr>
        <w:t xml:space="preserve"> is indeed important in the regulation of energy metabolism and metabolic flexibility linking glycolysis and fatty acid oxidation. Moreover, we showed that defect in this pathway also affects the total cellular lipid composition with possible consequences on signal transduction</w:t>
      </w:r>
      <w:r w:rsidR="00053223">
        <w:rPr>
          <w:rFonts w:ascii="Tw Cen MT" w:eastAsia="Tw Cen MT" w:hAnsi="Tw Cen MT" w:cs="Tw Cen MT"/>
          <w:b w:val="0"/>
          <w:bCs w:val="0"/>
          <w:sz w:val="18"/>
          <w:szCs w:val="18"/>
        </w:rPr>
        <w:t>.</w:t>
      </w:r>
      <w:bookmarkStart w:id="0" w:name="_GoBack"/>
      <w:bookmarkEnd w:id="0"/>
      <w:r w:rsidR="00A9710C">
        <w:rPr>
          <w:b w:val="0"/>
        </w:rPr>
        <w:br w:type="column"/>
      </w:r>
      <w:r w:rsidR="00A9710C">
        <w:rPr>
          <w:color w:val="BF5A14"/>
        </w:rPr>
        <w:lastRenderedPageBreak/>
        <w:t>Image</w:t>
      </w:r>
    </w:p>
    <w:p w:rsidR="00AE3E37" w:rsidRDefault="005B1103">
      <w:pPr>
        <w:pStyle w:val="BodyText"/>
        <w:spacing w:before="2"/>
        <w:rPr>
          <w:rFonts w:ascii="Arial"/>
          <w:b/>
          <w:sz w:val="16"/>
        </w:rPr>
      </w:pPr>
      <w:r>
        <w:rPr>
          <w:rFonts w:ascii="Arial"/>
          <w:b/>
          <w:noProof/>
          <w:sz w:val="16"/>
        </w:rPr>
        <w:drawing>
          <wp:inline distT="0" distB="0" distL="0" distR="0">
            <wp:extent cx="3162300" cy="2185243"/>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s2.0-S1388198119301349-ga1.jpg"/>
                    <pic:cNvPicPr/>
                  </pic:nvPicPr>
                  <pic:blipFill>
                    <a:blip r:embed="rId9">
                      <a:extLst>
                        <a:ext uri="{28A0092B-C50C-407E-A947-70E740481C1C}">
                          <a14:useLocalDpi xmlns:a14="http://schemas.microsoft.com/office/drawing/2010/main" val="0"/>
                        </a:ext>
                      </a:extLst>
                    </a:blip>
                    <a:stretch>
                      <a:fillRect/>
                    </a:stretch>
                  </pic:blipFill>
                  <pic:spPr>
                    <a:xfrm>
                      <a:off x="0" y="0"/>
                      <a:ext cx="3169367" cy="2190126"/>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03439B" w:rsidRPr="0003439B" w:rsidRDefault="0003439B" w:rsidP="0003439B">
      <w:pPr>
        <w:pStyle w:val="ListParagraph"/>
        <w:numPr>
          <w:ilvl w:val="0"/>
          <w:numId w:val="4"/>
        </w:numPr>
        <w:tabs>
          <w:tab w:val="left" w:pos="384"/>
        </w:tabs>
        <w:ind w:right="117"/>
        <w:rPr>
          <w:sz w:val="18"/>
        </w:rPr>
      </w:pPr>
      <w:r w:rsidRPr="0003439B">
        <w:rPr>
          <w:sz w:val="18"/>
        </w:rPr>
        <w:t>Different Lipid Signature in Fibroblasts of Long-Chain Fatty Acid Oxidation Disorders</w:t>
      </w:r>
      <w:r>
        <w:rPr>
          <w:sz w:val="18"/>
        </w:rPr>
        <w:t xml:space="preserve">, </w:t>
      </w:r>
      <w:r w:rsidRPr="0003439B">
        <w:rPr>
          <w:sz w:val="18"/>
        </w:rPr>
        <w:t xml:space="preserve">Cells, 2021 Mai, </w:t>
      </w:r>
      <w:proofErr w:type="spellStart"/>
      <w:r w:rsidRPr="0003439B">
        <w:rPr>
          <w:sz w:val="18"/>
        </w:rPr>
        <w:t>Doi</w:t>
      </w:r>
      <w:proofErr w:type="spellEnd"/>
      <w:r w:rsidRPr="0003439B">
        <w:rPr>
          <w:sz w:val="18"/>
        </w:rPr>
        <w:t>: 10.3390/cells10051239</w:t>
      </w:r>
    </w:p>
    <w:p w:rsidR="0003439B" w:rsidRPr="0003439B" w:rsidRDefault="0003439B" w:rsidP="0003439B">
      <w:pPr>
        <w:pStyle w:val="ListParagraph"/>
        <w:numPr>
          <w:ilvl w:val="0"/>
          <w:numId w:val="4"/>
        </w:numPr>
        <w:tabs>
          <w:tab w:val="left" w:pos="384"/>
        </w:tabs>
        <w:ind w:right="117"/>
        <w:rPr>
          <w:sz w:val="18"/>
        </w:rPr>
      </w:pPr>
      <w:r w:rsidRPr="0003439B">
        <w:rPr>
          <w:sz w:val="18"/>
        </w:rPr>
        <w:t>Altered Metabolic Flexibility in Inherited Metabolic Diseases of Mitochondrial Fatty Acid Metabolism</w:t>
      </w:r>
      <w:r>
        <w:rPr>
          <w:sz w:val="18"/>
        </w:rPr>
        <w:t xml:space="preserve">, </w:t>
      </w:r>
      <w:r w:rsidRPr="0003439B">
        <w:rPr>
          <w:sz w:val="18"/>
        </w:rPr>
        <w:t>IJMS, 2021 March, Doi:10.3390/ijms22073799</w:t>
      </w:r>
    </w:p>
    <w:p w:rsidR="0003439B" w:rsidRPr="0003439B" w:rsidRDefault="0003439B" w:rsidP="0003439B">
      <w:pPr>
        <w:pStyle w:val="ListParagraph"/>
        <w:numPr>
          <w:ilvl w:val="0"/>
          <w:numId w:val="4"/>
        </w:numPr>
        <w:tabs>
          <w:tab w:val="left" w:pos="384"/>
        </w:tabs>
        <w:ind w:right="117"/>
        <w:rPr>
          <w:sz w:val="18"/>
        </w:rPr>
      </w:pPr>
      <w:r w:rsidRPr="0003439B">
        <w:rPr>
          <w:sz w:val="18"/>
        </w:rPr>
        <w:t xml:space="preserve">Sex-specific perturbation of complex lipids in response to medium-chain fatty acids in very long-chain </w:t>
      </w:r>
      <w:proofErr w:type="gramStart"/>
      <w:r w:rsidRPr="0003439B">
        <w:rPr>
          <w:sz w:val="18"/>
        </w:rPr>
        <w:t>acyl</w:t>
      </w:r>
      <w:proofErr w:type="gramEnd"/>
      <w:r w:rsidRPr="0003439B">
        <w:rPr>
          <w:sz w:val="18"/>
        </w:rPr>
        <w:t>-CoA dehydrogenase deficiency (VLCADD)</w:t>
      </w:r>
      <w:r>
        <w:rPr>
          <w:sz w:val="18"/>
        </w:rPr>
        <w:t xml:space="preserve">, </w:t>
      </w:r>
      <w:r w:rsidRPr="0003439B">
        <w:rPr>
          <w:sz w:val="18"/>
        </w:rPr>
        <w:t xml:space="preserve">The FEBS journal, 2020 January, </w:t>
      </w:r>
      <w:proofErr w:type="spellStart"/>
      <w:r w:rsidRPr="0003439B">
        <w:rPr>
          <w:sz w:val="18"/>
        </w:rPr>
        <w:t>Doi</w:t>
      </w:r>
      <w:proofErr w:type="spellEnd"/>
      <w:r w:rsidRPr="0003439B">
        <w:rPr>
          <w:sz w:val="18"/>
        </w:rPr>
        <w:t>: 10.1111/febs.15221</w:t>
      </w:r>
    </w:p>
    <w:p w:rsidR="0003439B" w:rsidRPr="0003439B" w:rsidRDefault="0003439B" w:rsidP="0003439B">
      <w:pPr>
        <w:pStyle w:val="ListParagraph"/>
        <w:numPr>
          <w:ilvl w:val="0"/>
          <w:numId w:val="4"/>
        </w:numPr>
        <w:tabs>
          <w:tab w:val="left" w:pos="384"/>
        </w:tabs>
        <w:ind w:right="117"/>
        <w:rPr>
          <w:sz w:val="18"/>
        </w:rPr>
      </w:pPr>
      <w:r w:rsidRPr="0003439B">
        <w:rPr>
          <w:sz w:val="18"/>
        </w:rPr>
        <w:t xml:space="preserve">The </w:t>
      </w:r>
      <w:proofErr w:type="spellStart"/>
      <w:r w:rsidRPr="0003439B">
        <w:rPr>
          <w:sz w:val="18"/>
        </w:rPr>
        <w:t>therapeutical</w:t>
      </w:r>
      <w:proofErr w:type="spellEnd"/>
      <w:r w:rsidRPr="0003439B">
        <w:rPr>
          <w:sz w:val="18"/>
        </w:rPr>
        <w:t xml:space="preserve"> potential of </w:t>
      </w:r>
      <w:proofErr w:type="spellStart"/>
      <w:r w:rsidRPr="0003439B">
        <w:rPr>
          <w:sz w:val="18"/>
        </w:rPr>
        <w:t>triheptanoin</w:t>
      </w:r>
      <w:proofErr w:type="spellEnd"/>
      <w:r w:rsidRPr="0003439B">
        <w:rPr>
          <w:sz w:val="18"/>
        </w:rPr>
        <w:t xml:space="preserve"> in metabolic and neurodegenerative diseases</w:t>
      </w:r>
      <w:r>
        <w:rPr>
          <w:sz w:val="18"/>
        </w:rPr>
        <w:t xml:space="preserve">, </w:t>
      </w:r>
      <w:r w:rsidRPr="0003439B">
        <w:rPr>
          <w:sz w:val="18"/>
        </w:rPr>
        <w:t>JIMD - Journal of Inherited Metabolic Disease, 2019 November, Doi:10.1002/jimd.12199.</w:t>
      </w:r>
    </w:p>
    <w:p w:rsidR="0003439B" w:rsidRPr="0003439B" w:rsidRDefault="0003439B" w:rsidP="0003439B">
      <w:pPr>
        <w:pStyle w:val="ListParagraph"/>
        <w:numPr>
          <w:ilvl w:val="0"/>
          <w:numId w:val="4"/>
        </w:numPr>
        <w:tabs>
          <w:tab w:val="left" w:pos="384"/>
        </w:tabs>
        <w:ind w:right="117"/>
        <w:rPr>
          <w:sz w:val="18"/>
        </w:rPr>
      </w:pPr>
      <w:r w:rsidRPr="0003439B">
        <w:rPr>
          <w:sz w:val="18"/>
        </w:rPr>
        <w:t xml:space="preserve">The Fate of Medium-Chain Fatty Acids in Very Long-Chain Acyl-CoA Dehydrogenase Deficiency (VLCADD): A Matter of </w:t>
      </w:r>
      <w:proofErr w:type="gramStart"/>
      <w:r w:rsidRPr="0003439B">
        <w:rPr>
          <w:sz w:val="18"/>
        </w:rPr>
        <w:t>Sex?</w:t>
      </w:r>
      <w:r>
        <w:rPr>
          <w:sz w:val="18"/>
        </w:rPr>
        <w:t>,</w:t>
      </w:r>
      <w:proofErr w:type="gramEnd"/>
      <w:r>
        <w:rPr>
          <w:sz w:val="18"/>
        </w:rPr>
        <w:t xml:space="preserve"> </w:t>
      </w:r>
      <w:r w:rsidRPr="0003439B">
        <w:rPr>
          <w:sz w:val="18"/>
        </w:rPr>
        <w:t>BBA - Molecular and Cell Biology of Lipids 2019 August, Doi:10.1016/j.bbalip.2019.08.001</w:t>
      </w:r>
    </w:p>
    <w:p w:rsidR="0003439B" w:rsidRPr="0003439B" w:rsidRDefault="0003439B" w:rsidP="0003439B">
      <w:pPr>
        <w:pStyle w:val="ListParagraph"/>
        <w:numPr>
          <w:ilvl w:val="0"/>
          <w:numId w:val="4"/>
        </w:numPr>
        <w:tabs>
          <w:tab w:val="left" w:pos="384"/>
        </w:tabs>
        <w:ind w:right="117"/>
        <w:rPr>
          <w:sz w:val="18"/>
        </w:rPr>
      </w:pPr>
      <w:r w:rsidRPr="0003439B">
        <w:rPr>
          <w:sz w:val="18"/>
        </w:rPr>
        <w:t>The emerging role of the mitochondrial fatty-acid synthase (</w:t>
      </w:r>
      <w:proofErr w:type="spellStart"/>
      <w:r w:rsidRPr="0003439B">
        <w:rPr>
          <w:sz w:val="18"/>
        </w:rPr>
        <w:t>mtFASII</w:t>
      </w:r>
      <w:proofErr w:type="spellEnd"/>
      <w:r w:rsidRPr="0003439B">
        <w:rPr>
          <w:sz w:val="18"/>
        </w:rPr>
        <w:t>) in the regulation of energy metabolism</w:t>
      </w:r>
      <w:r>
        <w:rPr>
          <w:sz w:val="18"/>
        </w:rPr>
        <w:t xml:space="preserve">, </w:t>
      </w:r>
      <w:r w:rsidRPr="0003439B">
        <w:rPr>
          <w:sz w:val="18"/>
        </w:rPr>
        <w:t xml:space="preserve">BBA - Molecular and Cell Biology of Lipids 2019 July, </w:t>
      </w:r>
      <w:proofErr w:type="gramStart"/>
      <w:r w:rsidRPr="0003439B">
        <w:rPr>
          <w:sz w:val="18"/>
        </w:rPr>
        <w:t>Doi:10.1016/j.bbalip</w:t>
      </w:r>
      <w:proofErr w:type="gramEnd"/>
      <w:r w:rsidRPr="0003439B">
        <w:rPr>
          <w:sz w:val="18"/>
        </w:rPr>
        <w:t>.2019.07.012</w:t>
      </w:r>
    </w:p>
    <w:p w:rsidR="00AE3E37" w:rsidRPr="0003439B" w:rsidRDefault="0003439B" w:rsidP="0003439B">
      <w:pPr>
        <w:pStyle w:val="ListParagraph"/>
        <w:numPr>
          <w:ilvl w:val="0"/>
          <w:numId w:val="4"/>
        </w:numPr>
        <w:tabs>
          <w:tab w:val="left" w:pos="384"/>
        </w:tabs>
        <w:ind w:right="117"/>
        <w:rPr>
          <w:sz w:val="18"/>
        </w:rPr>
      </w:pPr>
      <w:r w:rsidRPr="0003439B">
        <w:rPr>
          <w:sz w:val="18"/>
        </w:rPr>
        <w:t xml:space="preserve">Mitochondrial fatty acid biosynthesis and muscle fiber plasticity in very long-chain </w:t>
      </w:r>
      <w:proofErr w:type="gramStart"/>
      <w:r w:rsidRPr="0003439B">
        <w:rPr>
          <w:sz w:val="18"/>
        </w:rPr>
        <w:t>acyl</w:t>
      </w:r>
      <w:proofErr w:type="gramEnd"/>
      <w:r w:rsidRPr="0003439B">
        <w:rPr>
          <w:sz w:val="18"/>
        </w:rPr>
        <w:t>-Co</w:t>
      </w:r>
      <w:r>
        <w:rPr>
          <w:sz w:val="18"/>
        </w:rPr>
        <w:t xml:space="preserve">A dehydrogenase-deficient mice, </w:t>
      </w:r>
      <w:r w:rsidRPr="0003439B">
        <w:rPr>
          <w:sz w:val="18"/>
        </w:rPr>
        <w:t>FEBS - Federation of European Biochemical Societies, 2018 January, Doi:10.1002/1873-3468.12940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5170B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468801" cy="625069"/>
            <wp:effectExtent l="0" t="0" r="762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68801"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6E779B" w:rsidRPr="006E779B" w:rsidRDefault="006E779B" w:rsidP="006E779B">
      <w:pPr>
        <w:jc w:val="both"/>
        <w:rPr>
          <w:rFonts w:ascii="Arial" w:hAnsi="Arial" w:cs="Arial"/>
          <w:sz w:val="14"/>
          <w:szCs w:val="14"/>
        </w:rPr>
      </w:pPr>
      <w:r w:rsidRPr="006E779B">
        <w:rPr>
          <w:rFonts w:ascii="Arial" w:hAnsi="Arial" w:cs="Arial"/>
          <w:sz w:val="14"/>
          <w:szCs w:val="14"/>
        </w:rPr>
        <w:t xml:space="preserve">Zeinab Wehbe is a postdoctoral researcher at the Department of Pediatric Hematology and Oncology, University of Freiburg, Germany since 2020. She received a bachelor’s degree in biochemistry and life science from the faculty of science, University of Saint-Joseph, Lebanon in 2013, a master’s degree in molecular biology and genetics in 2015 and a PhD in metabolic flexibility from the University of Freiburg, Germany in 2019. </w:t>
      </w:r>
    </w:p>
    <w:p w:rsidR="00AE3E37" w:rsidRDefault="00A9710C" w:rsidP="006E779B">
      <w:pPr>
        <w:spacing w:before="62"/>
        <w:ind w:right="4235"/>
        <w:jc w:val="both"/>
        <w:rPr>
          <w:rFonts w:ascii="Arial"/>
          <w:sz w:val="14"/>
        </w:rPr>
      </w:pPr>
      <w:r>
        <w:rPr>
          <w:rFonts w:ascii="Arial"/>
          <w:sz w:val="14"/>
        </w:rPr>
        <w:t xml:space="preserve">Email: </w:t>
      </w:r>
      <w:hyperlink r:id="rId11" w:history="1">
        <w:r w:rsidR="006E779B" w:rsidRPr="009658DA">
          <w:rPr>
            <w:rStyle w:val="Hyperlink"/>
            <w:rFonts w:ascii="Arial"/>
            <w:sz w:val="14"/>
          </w:rPr>
          <w:t>zeinab.wehbe@uniklinik-freiburg.de</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AB7BF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D75" w:rsidRDefault="00135D75">
      <w:r>
        <w:separator/>
      </w:r>
    </w:p>
  </w:endnote>
  <w:endnote w:type="continuationSeparator" w:id="0">
    <w:p w:rsidR="00135D75" w:rsidRDefault="00135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D75" w:rsidRDefault="00135D75">
      <w:r>
        <w:separator/>
      </w:r>
    </w:p>
  </w:footnote>
  <w:footnote w:type="continuationSeparator" w:id="0">
    <w:p w:rsidR="00135D75" w:rsidRDefault="00135D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1103" w:rsidRDefault="00A9710C">
                          <w:pPr>
                            <w:spacing w:before="2" w:line="249" w:lineRule="auto"/>
                            <w:ind w:left="156" w:right="18" w:hanging="137"/>
                            <w:rPr>
                              <w:rFonts w:ascii="Arial"/>
                              <w:color w:val="FFFFFF" w:themeColor="background1"/>
                              <w:sz w:val="14"/>
                              <w:lang w:val="fr-FR"/>
                            </w:rPr>
                          </w:pPr>
                          <w:r w:rsidRPr="005B1103">
                            <w:rPr>
                              <w:rFonts w:ascii="Arial"/>
                              <w:color w:val="FFFFFF" w:themeColor="background1"/>
                              <w:sz w:val="14"/>
                              <w:lang w:val="fr-FR"/>
                            </w:rPr>
                            <w:t xml:space="preserve">T Furuta et al., J Pai n Relief 2016, 5:3(Suppl) </w:t>
                          </w:r>
                          <w:r w:rsidR="00135D75">
                            <w:fldChar w:fldCharType="begin"/>
                          </w:r>
                          <w:r w:rsidR="00135D75" w:rsidRPr="005B1103">
                            <w:rPr>
                              <w:lang w:val="fr-FR"/>
                            </w:rPr>
                            <w:instrText xml:space="preserve"> HYPERLINK "http://dx.doi.org/10.4172/2167-0846.C1.006" \h </w:instrText>
                          </w:r>
                          <w:r w:rsidR="00135D75">
                            <w:fldChar w:fldCharType="separate"/>
                          </w:r>
                          <w:r w:rsidRPr="005B1103">
                            <w:rPr>
                              <w:rFonts w:ascii="Arial"/>
                              <w:color w:val="FFFFFF" w:themeColor="background1"/>
                              <w:sz w:val="14"/>
                              <w:lang w:val="fr-FR"/>
                            </w:rPr>
                            <w:t>http://dx.doi.org/10.4172/2167-0846.C1.006</w:t>
                          </w:r>
                          <w:r w:rsidR="00135D75">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1103" w:rsidRDefault="00A9710C">
                    <w:pPr>
                      <w:spacing w:before="2" w:line="249" w:lineRule="auto"/>
                      <w:ind w:left="156" w:right="18" w:hanging="137"/>
                      <w:rPr>
                        <w:rFonts w:ascii="Arial"/>
                        <w:color w:val="FFFFFF" w:themeColor="background1"/>
                        <w:sz w:val="14"/>
                        <w:lang w:val="fr-FR"/>
                      </w:rPr>
                    </w:pPr>
                    <w:r w:rsidRPr="005B1103">
                      <w:rPr>
                        <w:rFonts w:ascii="Arial"/>
                        <w:color w:val="FFFFFF" w:themeColor="background1"/>
                        <w:sz w:val="14"/>
                        <w:lang w:val="fr-FR"/>
                      </w:rPr>
                      <w:t xml:space="preserve">T Furuta et al., J Pai n Relief 2016, 5:3(Suppl) </w:t>
                    </w:r>
                    <w:r w:rsidR="00135D75">
                      <w:fldChar w:fldCharType="begin"/>
                    </w:r>
                    <w:r w:rsidR="00135D75" w:rsidRPr="005B1103">
                      <w:rPr>
                        <w:lang w:val="fr-FR"/>
                      </w:rPr>
                      <w:instrText xml:space="preserve"> HYPERLINK "http://dx.doi.org/10.4172/2167-0846.C1.006" \h </w:instrText>
                    </w:r>
                    <w:r w:rsidR="00135D75">
                      <w:fldChar w:fldCharType="separate"/>
                    </w:r>
                    <w:r w:rsidRPr="005B1103">
                      <w:rPr>
                        <w:rFonts w:ascii="Arial"/>
                        <w:color w:val="FFFFFF" w:themeColor="background1"/>
                        <w:sz w:val="14"/>
                        <w:lang w:val="fr-FR"/>
                      </w:rPr>
                      <w:t>http://dx.doi.org/10.4172/2167-0846.C1.006</w:t>
                    </w:r>
                    <w:r w:rsidR="00135D75">
                      <w:rPr>
                        <w:rFonts w:ascii="Arial"/>
                        <w:color w:val="FFFFFF" w:themeColor="background1"/>
                        <w:sz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B328E"/>
    <w:multiLevelType w:val="hybridMultilevel"/>
    <w:tmpl w:val="BAF49E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439B"/>
    <w:rsid w:val="00053223"/>
    <w:rsid w:val="000E2911"/>
    <w:rsid w:val="001263DF"/>
    <w:rsid w:val="00135D75"/>
    <w:rsid w:val="002455EC"/>
    <w:rsid w:val="00292ED9"/>
    <w:rsid w:val="00404E5B"/>
    <w:rsid w:val="00414F7B"/>
    <w:rsid w:val="004355DC"/>
    <w:rsid w:val="004749B4"/>
    <w:rsid w:val="00494130"/>
    <w:rsid w:val="004A08BB"/>
    <w:rsid w:val="004F3523"/>
    <w:rsid w:val="0056738E"/>
    <w:rsid w:val="005973B9"/>
    <w:rsid w:val="005B1103"/>
    <w:rsid w:val="005B3A56"/>
    <w:rsid w:val="006060CE"/>
    <w:rsid w:val="0063497F"/>
    <w:rsid w:val="006E779B"/>
    <w:rsid w:val="00873DF0"/>
    <w:rsid w:val="008756E6"/>
    <w:rsid w:val="008A08B6"/>
    <w:rsid w:val="009B2D44"/>
    <w:rsid w:val="00A07E82"/>
    <w:rsid w:val="00A9710C"/>
    <w:rsid w:val="00AE3E37"/>
    <w:rsid w:val="00B21A57"/>
    <w:rsid w:val="00BD6BBC"/>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C78FF7"/>
  <w15:docId w15:val="{9361EAA9-E78F-4275-9F7B-03F553130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72705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einab.wehbe@uniklinik-freiburg.de"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Zeinab Wehbe</cp:lastModifiedBy>
  <cp:revision>9</cp:revision>
  <dcterms:created xsi:type="dcterms:W3CDTF">2016-12-06T11:19:00Z</dcterms:created>
  <dcterms:modified xsi:type="dcterms:W3CDTF">2021-08-09T15:03:00Z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