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62C3" w:rsidRPr="001162C3" w:rsidRDefault="00E8344F" w:rsidP="001162C3">
      <w:pPr>
        <w:spacing w:line="480" w:lineRule="auto"/>
        <w:rPr>
          <w:rFonts w:ascii="Minion Pro" w:eastAsia="Minion Pro" w:hAnsi="Minion Pro" w:cs="Minion Pro"/>
          <w:b/>
          <w:bCs/>
          <w:i/>
          <w:iCs/>
          <w:color w:val="337AB7"/>
          <w:sz w:val="28"/>
          <w:szCs w:val="28"/>
        </w:rPr>
      </w:pPr>
      <w:r w:rsidRPr="00E8344F">
        <w:rPr>
          <w:rFonts w:ascii="Minion Pro" w:eastAsia="Minion Pro" w:hAnsi="Minion Pro" w:cs="Minion Pro"/>
          <w:b/>
          <w:bCs/>
          <w:color w:val="337AB7"/>
          <w:sz w:val="28"/>
          <w:szCs w:val="28"/>
        </w:rPr>
        <w:t xml:space="preserve">Effect of </w:t>
      </w:r>
      <w:proofErr w:type="spellStart"/>
      <w:r w:rsidRPr="00E8344F">
        <w:rPr>
          <w:rFonts w:ascii="Minion Pro" w:eastAsia="Minion Pro" w:hAnsi="Minion Pro" w:cs="Minion Pro"/>
          <w:b/>
          <w:bCs/>
          <w:i/>
          <w:iCs/>
          <w:color w:val="337AB7"/>
          <w:sz w:val="28"/>
          <w:szCs w:val="28"/>
        </w:rPr>
        <w:t>Solanum</w:t>
      </w:r>
      <w:proofErr w:type="spellEnd"/>
      <w:r w:rsidRPr="00E8344F">
        <w:rPr>
          <w:rFonts w:ascii="Minion Pro" w:eastAsia="Minion Pro" w:hAnsi="Minion Pro" w:cs="Minion Pro"/>
          <w:b/>
          <w:bCs/>
          <w:i/>
          <w:iCs/>
          <w:color w:val="337AB7"/>
          <w:sz w:val="28"/>
          <w:szCs w:val="28"/>
        </w:rPr>
        <w:t xml:space="preserve"> </w:t>
      </w:r>
      <w:proofErr w:type="spellStart"/>
      <w:r w:rsidRPr="00E8344F">
        <w:rPr>
          <w:rFonts w:ascii="Minion Pro" w:eastAsia="Minion Pro" w:hAnsi="Minion Pro" w:cs="Minion Pro"/>
          <w:b/>
          <w:bCs/>
          <w:i/>
          <w:iCs/>
          <w:color w:val="337AB7"/>
          <w:sz w:val="28"/>
          <w:szCs w:val="28"/>
        </w:rPr>
        <w:t>tubersum</w:t>
      </w:r>
      <w:proofErr w:type="spellEnd"/>
      <w:r w:rsidRPr="00E8344F">
        <w:rPr>
          <w:rFonts w:ascii="Minion Pro" w:eastAsia="Minion Pro" w:hAnsi="Minion Pro" w:cs="Minion Pro"/>
          <w:b/>
          <w:bCs/>
          <w:color w:val="337AB7"/>
          <w:sz w:val="28"/>
          <w:szCs w:val="28"/>
        </w:rPr>
        <w:t xml:space="preserve"> extract</w:t>
      </w:r>
      <w:r w:rsidRPr="00CA3045">
        <w:rPr>
          <w:b/>
          <w:bCs/>
          <w:sz w:val="28"/>
          <w:szCs w:val="28"/>
          <w:lang w:val="en"/>
        </w:rPr>
        <w:t xml:space="preserve"> </w:t>
      </w:r>
      <w:r w:rsidR="001162C3" w:rsidRPr="001162C3">
        <w:rPr>
          <w:rFonts w:ascii="Minion Pro" w:eastAsia="Minion Pro" w:hAnsi="Minion Pro" w:cs="Minion Pro"/>
          <w:b/>
          <w:bCs/>
          <w:color w:val="337AB7"/>
          <w:sz w:val="28"/>
          <w:szCs w:val="28"/>
        </w:rPr>
        <w:t>on human keratinocyte proliferation</w:t>
      </w:r>
      <w:r w:rsidR="001162C3" w:rsidRPr="001162C3">
        <w:rPr>
          <w:rFonts w:ascii="Minion Pro" w:eastAsia="Minion Pro" w:hAnsi="Minion Pro" w:cs="Minion Pro"/>
          <w:b/>
          <w:bCs/>
          <w:i/>
          <w:iCs/>
          <w:color w:val="337AB7"/>
          <w:sz w:val="28"/>
          <w:szCs w:val="28"/>
        </w:rPr>
        <w:t xml:space="preserve"> in vitro</w:t>
      </w:r>
    </w:p>
    <w:p w:rsidR="000F2E9E" w:rsidRDefault="000F2E9E" w:rsidP="000F2E9E">
      <w:pPr>
        <w:pStyle w:val="BodyText"/>
        <w:spacing w:before="73" w:line="198" w:lineRule="exact"/>
        <w:ind w:left="100" w:right="5987"/>
        <w:rPr>
          <w:rFonts w:ascii="Arial"/>
        </w:rPr>
      </w:pPr>
      <w:proofErr w:type="spellStart"/>
      <w:r>
        <w:rPr>
          <w:rFonts w:ascii="Arial"/>
        </w:rPr>
        <w:t>Hamidreza</w:t>
      </w:r>
      <w:proofErr w:type="spellEnd"/>
      <w:r>
        <w:rPr>
          <w:rFonts w:ascii="Arial"/>
        </w:rPr>
        <w:t xml:space="preserve"> Ahmadi </w:t>
      </w:r>
      <w:proofErr w:type="spellStart"/>
      <w:r>
        <w:rPr>
          <w:rFonts w:ascii="Arial"/>
        </w:rPr>
        <w:t>Ashtiani</w:t>
      </w:r>
      <w:proofErr w:type="spellEnd"/>
      <w:r>
        <w:rPr>
          <w:rFonts w:ascii="Arial"/>
        </w:rPr>
        <w:t>,</w:t>
      </w:r>
      <w:r w:rsidRPr="004547C7">
        <w:t xml:space="preserve"> </w:t>
      </w:r>
      <w:r w:rsidRPr="004547C7">
        <w:rPr>
          <w:rFonts w:ascii="Arial"/>
        </w:rPr>
        <w:t xml:space="preserve">Department of Basic Sciences, Faculty of Pharmacy, Pharmaceutical Sciences </w:t>
      </w:r>
      <w:bookmarkStart w:id="0" w:name="_GoBack"/>
      <w:bookmarkEnd w:id="0"/>
      <w:r w:rsidRPr="004547C7">
        <w:rPr>
          <w:rFonts w:ascii="Arial"/>
        </w:rPr>
        <w:t>Branch, Islamic Azad University, Tehran-Iran(IAUPS).</w:t>
      </w:r>
      <w:r>
        <w:rPr>
          <w:rFonts w:ascii="Arial"/>
        </w:rPr>
        <w:t xml:space="preserve"> </w:t>
      </w:r>
    </w:p>
    <w:p w:rsidR="005973B9" w:rsidRDefault="001162C3" w:rsidP="001162C3">
      <w:pPr>
        <w:pStyle w:val="BodyText"/>
        <w:spacing w:before="73" w:line="198" w:lineRule="exact"/>
        <w:ind w:left="100" w:right="5987"/>
        <w:rPr>
          <w:rFonts w:ascii="Arial"/>
        </w:rPr>
      </w:pPr>
      <w:proofErr w:type="spellStart"/>
      <w:r>
        <w:rPr>
          <w:rFonts w:ascii="Arial"/>
        </w:rPr>
        <w:t>Emadeddin</w:t>
      </w:r>
      <w:proofErr w:type="spellEnd"/>
      <w:r>
        <w:rPr>
          <w:rFonts w:ascii="Arial"/>
        </w:rPr>
        <w:t xml:space="preserve"> </w:t>
      </w:r>
      <w:proofErr w:type="spellStart"/>
      <w:r>
        <w:rPr>
          <w:rFonts w:ascii="Arial"/>
        </w:rPr>
        <w:t>Mobedi</w:t>
      </w:r>
      <w:proofErr w:type="spellEnd"/>
      <w:r w:rsidR="004547C7">
        <w:rPr>
          <w:rFonts w:ascii="Arial"/>
        </w:rPr>
        <w:t>, DVM Student, Faculty of Veterinary Medicine, University of Tehran, Tehran, Iran</w:t>
      </w:r>
    </w:p>
    <w:p w:rsidR="00AE3E37" w:rsidRPr="000F2E9E" w:rsidRDefault="001162C3" w:rsidP="000F2E9E">
      <w:pPr>
        <w:pStyle w:val="BodyText"/>
        <w:spacing w:before="73" w:line="198" w:lineRule="exact"/>
        <w:ind w:left="100" w:right="5987"/>
        <w:rPr>
          <w:rFonts w:ascii="Arial"/>
        </w:rPr>
      </w:pPr>
      <w:r>
        <w:rPr>
          <w:rFonts w:ascii="Arial"/>
        </w:rPr>
        <w:t xml:space="preserve">Ali </w:t>
      </w:r>
      <w:proofErr w:type="spellStart"/>
      <w:r>
        <w:rPr>
          <w:rFonts w:ascii="Arial"/>
        </w:rPr>
        <w:t>Salavati</w:t>
      </w:r>
      <w:proofErr w:type="spellEnd"/>
      <w:r>
        <w:rPr>
          <w:rFonts w:ascii="Arial"/>
        </w:rPr>
        <w:t>, DVM Student, Faculty of Veterinary Medicine, University of Tehran, Tehran, Iran</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rsidP="004A1173">
      <w:pPr>
        <w:pStyle w:val="Heading3"/>
        <w:spacing w:before="147"/>
        <w:jc w:val="both"/>
        <w:rPr>
          <w:rtl/>
          <w:lang w:bidi="fa-IR"/>
        </w:rPr>
      </w:pPr>
      <w:r>
        <w:rPr>
          <w:color w:val="BF5A14"/>
        </w:rPr>
        <w:lastRenderedPageBreak/>
        <w:t>Abstract</w:t>
      </w:r>
      <w:r w:rsidR="00404E5B">
        <w:rPr>
          <w:color w:val="BF5A14"/>
        </w:rPr>
        <w:t xml:space="preserve"> </w:t>
      </w:r>
    </w:p>
    <w:p w:rsidR="00AE3E37" w:rsidRPr="00DC1AC3" w:rsidRDefault="00DC1AC3" w:rsidP="000F2E9E">
      <w:pPr>
        <w:spacing w:line="276" w:lineRule="auto"/>
        <w:jc w:val="both"/>
        <w:rPr>
          <w:sz w:val="18"/>
          <w:szCs w:val="18"/>
        </w:rPr>
      </w:pPr>
      <w:r w:rsidRPr="00DC1AC3">
        <w:rPr>
          <w:sz w:val="18"/>
          <w:szCs w:val="18"/>
        </w:rPr>
        <w:t xml:space="preserve">Lectins are a group of glycoprotein substances which have the role of stimulating growth similar to growth factors. </w:t>
      </w:r>
      <w:proofErr w:type="spellStart"/>
      <w:r w:rsidRPr="00DC1AC3">
        <w:rPr>
          <w:sz w:val="18"/>
          <w:szCs w:val="18"/>
        </w:rPr>
        <w:t>Sarcol</w:t>
      </w:r>
      <w:r w:rsidR="000F2E9E">
        <w:rPr>
          <w:sz w:val="18"/>
          <w:szCs w:val="18"/>
        </w:rPr>
        <w:t>e</w:t>
      </w:r>
      <w:r w:rsidRPr="00DC1AC3">
        <w:rPr>
          <w:sz w:val="18"/>
          <w:szCs w:val="18"/>
        </w:rPr>
        <w:t>ctin</w:t>
      </w:r>
      <w:proofErr w:type="spellEnd"/>
      <w:r w:rsidRPr="00DC1AC3">
        <w:rPr>
          <w:sz w:val="18"/>
          <w:szCs w:val="18"/>
        </w:rPr>
        <w:t xml:space="preserve"> is an endogenous lectin that plays an essential role in regulating cell proliferation in most tissues. </w:t>
      </w:r>
      <w:r w:rsidRPr="00CA3045">
        <w:rPr>
          <w:sz w:val="18"/>
          <w:szCs w:val="18"/>
        </w:rPr>
        <w:t xml:space="preserve">In skin tissue, 95% of epidermal consists of keratinocytes, which their most important task is creating a protective layer against external factors. </w:t>
      </w:r>
      <w:r w:rsidRPr="00DC1AC3">
        <w:rPr>
          <w:sz w:val="18"/>
          <w:szCs w:val="18"/>
        </w:rPr>
        <w:t xml:space="preserve"> These cells are continuously replicating to renew generation the skin's formation or wound healing, thereby stimulating the proliferation of these cells is important. the effects of </w:t>
      </w:r>
      <w:proofErr w:type="spellStart"/>
      <w:r w:rsidRPr="00E8344F">
        <w:rPr>
          <w:i/>
          <w:iCs/>
          <w:sz w:val="18"/>
          <w:szCs w:val="18"/>
        </w:rPr>
        <w:t>Solanum</w:t>
      </w:r>
      <w:proofErr w:type="spellEnd"/>
      <w:r w:rsidRPr="00E8344F">
        <w:rPr>
          <w:i/>
          <w:iCs/>
          <w:sz w:val="18"/>
          <w:szCs w:val="18"/>
        </w:rPr>
        <w:t xml:space="preserve"> </w:t>
      </w:r>
      <w:proofErr w:type="spellStart"/>
      <w:r w:rsidRPr="00E8344F">
        <w:rPr>
          <w:i/>
          <w:iCs/>
          <w:sz w:val="18"/>
          <w:szCs w:val="18"/>
        </w:rPr>
        <w:t>tubersum</w:t>
      </w:r>
      <w:proofErr w:type="spellEnd"/>
      <w:r w:rsidRPr="00DC1AC3">
        <w:rPr>
          <w:sz w:val="18"/>
          <w:szCs w:val="18"/>
        </w:rPr>
        <w:t xml:space="preserve"> extract on the proliferation of cultured human keratinocyte cells were investigated. Cells of the 4th passage keratinocytes were cultured in 6 well plates and in HAMF 12 medium plus 10% FBS and streptomycin and penicillin antibiotics with the density of 100,000 cells per house. In this study, the two groups were investigated which first group was treated with plant extract and the second group was untreated and considered as the control group.  After 72 hours, the cells were </w:t>
      </w:r>
      <w:proofErr w:type="spellStart"/>
      <w:r w:rsidRPr="00DC1AC3">
        <w:rPr>
          <w:sz w:val="18"/>
          <w:szCs w:val="18"/>
        </w:rPr>
        <w:t>trypsinised</w:t>
      </w:r>
      <w:proofErr w:type="spellEnd"/>
      <w:r w:rsidRPr="00DC1AC3">
        <w:rPr>
          <w:sz w:val="18"/>
          <w:szCs w:val="18"/>
        </w:rPr>
        <w:t xml:space="preserve"> and counted in </w:t>
      </w:r>
      <w:proofErr w:type="spellStart"/>
      <w:r w:rsidRPr="00DC1AC3">
        <w:rPr>
          <w:sz w:val="18"/>
          <w:szCs w:val="18"/>
        </w:rPr>
        <w:t>Malassez</w:t>
      </w:r>
      <w:proofErr w:type="spellEnd"/>
      <w:r w:rsidRPr="00DC1AC3">
        <w:rPr>
          <w:sz w:val="18"/>
          <w:szCs w:val="18"/>
        </w:rPr>
        <w:t xml:space="preserve"> cells under inverse microscope. The results show that the number of cells in the first group was 2.7 times higher than the day zero and 1.17 times more than in the control group. </w:t>
      </w:r>
      <w:proofErr w:type="spellStart"/>
      <w:r w:rsidRPr="00CA3045">
        <w:rPr>
          <w:sz w:val="18"/>
          <w:szCs w:val="18"/>
        </w:rPr>
        <w:t>Sarcolectin</w:t>
      </w:r>
      <w:proofErr w:type="spellEnd"/>
      <w:r w:rsidRPr="00CA3045">
        <w:rPr>
          <w:sz w:val="18"/>
          <w:szCs w:val="18"/>
        </w:rPr>
        <w:t xml:space="preserve"> awaken the cells in order to make them ready to respond to growth factor signals and </w:t>
      </w:r>
      <w:r w:rsidRPr="00DC1AC3">
        <w:rPr>
          <w:sz w:val="18"/>
          <w:szCs w:val="18"/>
        </w:rPr>
        <w:t xml:space="preserve">that increase growth factors indirectly by inhibiting Interferons. </w:t>
      </w:r>
      <w:r w:rsidRPr="00CA3045">
        <w:rPr>
          <w:sz w:val="18"/>
          <w:szCs w:val="18"/>
        </w:rPr>
        <w:t xml:space="preserve">Ultimately that stimulate proliferation of cells. The glycoprotein of this extract had stimulation effect on keratinocyte’s proliferation too. Therefore, these process of stimulation look approximately similar. In other hand availability of the plants, absence (lack) of toxicity and </w:t>
      </w:r>
      <w:r w:rsidRPr="00DC1AC3">
        <w:rPr>
          <w:sz w:val="18"/>
          <w:szCs w:val="18"/>
        </w:rPr>
        <w:t>stability of the extracts produced by this plant</w:t>
      </w:r>
      <w:r w:rsidRPr="00CA3045">
        <w:rPr>
          <w:sz w:val="18"/>
          <w:szCs w:val="18"/>
        </w:rPr>
        <w:t xml:space="preserve"> </w:t>
      </w:r>
      <w:r w:rsidRPr="00DC1AC3">
        <w:rPr>
          <w:sz w:val="18"/>
          <w:szCs w:val="18"/>
        </w:rPr>
        <w:t xml:space="preserve">is characteristic for this plant to have a good potential </w:t>
      </w:r>
      <w:r w:rsidRPr="00CA3045">
        <w:rPr>
          <w:sz w:val="18"/>
          <w:szCs w:val="18"/>
        </w:rPr>
        <w:t xml:space="preserve">to applicate </w:t>
      </w:r>
      <w:r w:rsidRPr="00DC1AC3">
        <w:rPr>
          <w:sz w:val="18"/>
          <w:szCs w:val="18"/>
        </w:rPr>
        <w:t>in growth-promoting products.</w:t>
      </w:r>
    </w:p>
    <w:p w:rsidR="00AE3E37" w:rsidRDefault="00A9710C">
      <w:pPr>
        <w:pStyle w:val="Heading3"/>
        <w:spacing w:before="74"/>
      </w:pPr>
      <w:r>
        <w:rPr>
          <w:b w:val="0"/>
        </w:rPr>
        <w:br w:type="column"/>
      </w:r>
      <w:r>
        <w:rPr>
          <w:color w:val="BF5A14"/>
        </w:rPr>
        <w:lastRenderedPageBreak/>
        <w:t>Image</w:t>
      </w:r>
    </w:p>
    <w:p w:rsidR="00AE3E37" w:rsidRDefault="00E8344F">
      <w:pPr>
        <w:pStyle w:val="BodyText"/>
        <w:spacing w:before="2"/>
        <w:rPr>
          <w:rFonts w:ascii="Arial"/>
          <w:b/>
          <w:sz w:val="16"/>
        </w:rPr>
      </w:pPr>
      <w:r>
        <w:rPr>
          <w:rFonts w:ascii="Minion Pro" w:eastAsia="Minion Pro" w:hAnsi="Minion Pro" w:cs="Minion Pro"/>
          <w:b/>
          <w:bCs/>
          <w:noProof/>
          <w:color w:val="337AB7"/>
          <w:sz w:val="28"/>
          <w:szCs w:val="28"/>
        </w:rPr>
        <w:drawing>
          <wp:anchor distT="0" distB="0" distL="114300" distR="114300" simplePos="0" relativeHeight="251663360" behindDoc="0" locked="0" layoutInCell="1" allowOverlap="1" wp14:anchorId="3B6333C1" wp14:editId="67C540D0">
            <wp:simplePos x="0" y="0"/>
            <wp:positionH relativeFrom="margin">
              <wp:posOffset>3395926</wp:posOffset>
            </wp:positionH>
            <wp:positionV relativeFrom="page">
              <wp:posOffset>3158836</wp:posOffset>
            </wp:positionV>
            <wp:extent cx="1669415" cy="952500"/>
            <wp:effectExtent l="0" t="0" r="6985"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hoto_2017-10-27_14-20-44.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69415" cy="952500"/>
                    </a:xfrm>
                    <a:prstGeom prst="rect">
                      <a:avLst/>
                    </a:prstGeom>
                  </pic:spPr>
                </pic:pic>
              </a:graphicData>
            </a:graphic>
            <wp14:sizeRelH relativeFrom="margin">
              <wp14:pctWidth>0</wp14:pctWidth>
            </wp14:sizeRelH>
            <wp14:sizeRelV relativeFrom="margin">
              <wp14:pctHeight>0</wp14:pctHeight>
            </wp14:sizeRelV>
          </wp:anchor>
        </w:drawing>
      </w:r>
    </w:p>
    <w:p w:rsidR="005973B9" w:rsidRDefault="00E8344F" w:rsidP="005011D0">
      <w:pPr>
        <w:spacing w:line="204" w:lineRule="exact"/>
        <w:rPr>
          <w:rFonts w:ascii="Arial"/>
          <w:b/>
          <w:sz w:val="20"/>
        </w:rPr>
      </w:pPr>
      <w:r>
        <w:rPr>
          <w:rFonts w:ascii="Minion Pro" w:eastAsia="Minion Pro" w:hAnsi="Minion Pro" w:cs="Minion Pro"/>
          <w:b/>
          <w:bCs/>
          <w:noProof/>
          <w:color w:val="337AB7"/>
          <w:sz w:val="28"/>
          <w:szCs w:val="28"/>
        </w:rPr>
        <w:drawing>
          <wp:anchor distT="0" distB="0" distL="114300" distR="114300" simplePos="0" relativeHeight="251662336" behindDoc="0" locked="0" layoutInCell="1" allowOverlap="1" wp14:anchorId="7851618A" wp14:editId="6517D441">
            <wp:simplePos x="0" y="0"/>
            <wp:positionH relativeFrom="margin">
              <wp:posOffset>5112259</wp:posOffset>
            </wp:positionH>
            <wp:positionV relativeFrom="page">
              <wp:posOffset>3158836</wp:posOffset>
            </wp:positionV>
            <wp:extent cx="1675765" cy="961390"/>
            <wp:effectExtent l="0" t="0" r="635"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hoto_2017-10-27_14-15-00.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75765" cy="961390"/>
                    </a:xfrm>
                    <a:prstGeom prst="rect">
                      <a:avLst/>
                    </a:prstGeom>
                  </pic:spPr>
                </pic:pic>
              </a:graphicData>
            </a:graphic>
            <wp14:sizeRelH relativeFrom="margin">
              <wp14:pctWidth>0</wp14:pctWidth>
            </wp14:sizeRelH>
            <wp14:sizeRelV relativeFrom="margin">
              <wp14:pctHeight>0</wp14:pctHeight>
            </wp14:sizeRelV>
          </wp:anchor>
        </w:drawing>
      </w:r>
      <w:r w:rsidR="005973B9">
        <w:rPr>
          <w:rFonts w:ascii="Arial"/>
          <w:b/>
          <w:color w:val="BF5A14"/>
          <w:sz w:val="20"/>
        </w:rPr>
        <w:br/>
        <w:t xml:space="preserve">Recent Publications </w:t>
      </w:r>
    </w:p>
    <w:p w:rsidR="00A242CE" w:rsidRPr="00A242CE" w:rsidRDefault="000F2E9E" w:rsidP="00CF564C">
      <w:pPr>
        <w:pStyle w:val="Heading1"/>
        <w:numPr>
          <w:ilvl w:val="0"/>
          <w:numId w:val="4"/>
        </w:numPr>
        <w:shd w:val="clear" w:color="auto" w:fill="FFFFFF"/>
        <w:spacing w:before="120" w:after="120" w:line="240" w:lineRule="auto"/>
        <w:rPr>
          <w:rFonts w:ascii="Calibri" w:eastAsia="Calibri" w:hAnsi="Calibri" w:cs="Calibri"/>
          <w:b w:val="0"/>
          <w:bCs w:val="0"/>
          <w:sz w:val="18"/>
          <w:szCs w:val="22"/>
        </w:rPr>
      </w:pPr>
      <w:r w:rsidRPr="000F2E9E">
        <w:rPr>
          <w:rFonts w:ascii="Calibri" w:eastAsia="Calibri" w:hAnsi="Calibri" w:cs="Calibri"/>
          <w:b w:val="0"/>
          <w:bCs w:val="0"/>
          <w:sz w:val="18"/>
          <w:szCs w:val="22"/>
        </w:rPr>
        <w:t xml:space="preserve">Pereira, P. R., Del </w:t>
      </w:r>
      <w:proofErr w:type="spellStart"/>
      <w:r w:rsidRPr="000F2E9E">
        <w:rPr>
          <w:rFonts w:ascii="Calibri" w:eastAsia="Calibri" w:hAnsi="Calibri" w:cs="Calibri"/>
          <w:b w:val="0"/>
          <w:bCs w:val="0"/>
          <w:sz w:val="18"/>
          <w:szCs w:val="22"/>
        </w:rPr>
        <w:t>Aguila</w:t>
      </w:r>
      <w:proofErr w:type="spellEnd"/>
      <w:r w:rsidRPr="000F2E9E">
        <w:rPr>
          <w:rFonts w:ascii="Calibri" w:eastAsia="Calibri" w:hAnsi="Calibri" w:cs="Calibri"/>
          <w:b w:val="0"/>
          <w:bCs w:val="0"/>
          <w:sz w:val="18"/>
          <w:szCs w:val="22"/>
        </w:rPr>
        <w:t xml:space="preserve">, E. M., </w:t>
      </w:r>
      <w:proofErr w:type="spellStart"/>
      <w:r w:rsidRPr="000F2E9E">
        <w:rPr>
          <w:rFonts w:ascii="Calibri" w:eastAsia="Calibri" w:hAnsi="Calibri" w:cs="Calibri"/>
          <w:b w:val="0"/>
          <w:bCs w:val="0"/>
          <w:sz w:val="18"/>
          <w:szCs w:val="22"/>
        </w:rPr>
        <w:t>Vericimo</w:t>
      </w:r>
      <w:proofErr w:type="spellEnd"/>
      <w:r w:rsidRPr="000F2E9E">
        <w:rPr>
          <w:rFonts w:ascii="Calibri" w:eastAsia="Calibri" w:hAnsi="Calibri" w:cs="Calibri"/>
          <w:b w:val="0"/>
          <w:bCs w:val="0"/>
          <w:sz w:val="18"/>
          <w:szCs w:val="22"/>
        </w:rPr>
        <w:t xml:space="preserve">, M. A., </w:t>
      </w:r>
      <w:proofErr w:type="spellStart"/>
      <w:r w:rsidRPr="000F2E9E">
        <w:rPr>
          <w:rFonts w:ascii="Calibri" w:eastAsia="Calibri" w:hAnsi="Calibri" w:cs="Calibri"/>
          <w:b w:val="0"/>
          <w:bCs w:val="0"/>
          <w:sz w:val="18"/>
          <w:szCs w:val="22"/>
        </w:rPr>
        <w:t>Zingali</w:t>
      </w:r>
      <w:proofErr w:type="spellEnd"/>
      <w:r w:rsidRPr="000F2E9E">
        <w:rPr>
          <w:rFonts w:ascii="Calibri" w:eastAsia="Calibri" w:hAnsi="Calibri" w:cs="Calibri"/>
          <w:b w:val="0"/>
          <w:bCs w:val="0"/>
          <w:sz w:val="18"/>
          <w:szCs w:val="22"/>
        </w:rPr>
        <w:t xml:space="preserve">, R. B., </w:t>
      </w:r>
      <w:proofErr w:type="spellStart"/>
      <w:r w:rsidRPr="000F2E9E">
        <w:rPr>
          <w:rFonts w:ascii="Calibri" w:eastAsia="Calibri" w:hAnsi="Calibri" w:cs="Calibri"/>
          <w:b w:val="0"/>
          <w:bCs w:val="0"/>
          <w:sz w:val="18"/>
          <w:szCs w:val="22"/>
        </w:rPr>
        <w:t>Paschoalin</w:t>
      </w:r>
      <w:proofErr w:type="spellEnd"/>
      <w:r w:rsidRPr="000F2E9E">
        <w:rPr>
          <w:rFonts w:ascii="Calibri" w:eastAsia="Calibri" w:hAnsi="Calibri" w:cs="Calibri"/>
          <w:b w:val="0"/>
          <w:bCs w:val="0"/>
          <w:sz w:val="18"/>
          <w:szCs w:val="22"/>
        </w:rPr>
        <w:t>, V. M., &amp; Silva, J. T. (2014). Purification and characterization of the lectin from taro (</w:t>
      </w:r>
      <w:proofErr w:type="spellStart"/>
      <w:r w:rsidRPr="000F2E9E">
        <w:rPr>
          <w:rFonts w:ascii="Calibri" w:eastAsia="Calibri" w:hAnsi="Calibri" w:cs="Calibri"/>
          <w:b w:val="0"/>
          <w:bCs w:val="0"/>
          <w:sz w:val="18"/>
          <w:szCs w:val="22"/>
        </w:rPr>
        <w:t>Colocasia</w:t>
      </w:r>
      <w:proofErr w:type="spellEnd"/>
      <w:r w:rsidRPr="000F2E9E">
        <w:rPr>
          <w:rFonts w:ascii="Calibri" w:eastAsia="Calibri" w:hAnsi="Calibri" w:cs="Calibri"/>
          <w:b w:val="0"/>
          <w:bCs w:val="0"/>
          <w:sz w:val="18"/>
          <w:szCs w:val="22"/>
        </w:rPr>
        <w:t xml:space="preserve"> </w:t>
      </w:r>
      <w:proofErr w:type="spellStart"/>
      <w:r w:rsidRPr="000F2E9E">
        <w:rPr>
          <w:rFonts w:ascii="Calibri" w:eastAsia="Calibri" w:hAnsi="Calibri" w:cs="Calibri"/>
          <w:b w:val="0"/>
          <w:bCs w:val="0"/>
          <w:sz w:val="18"/>
          <w:szCs w:val="22"/>
        </w:rPr>
        <w:t>esculenta</w:t>
      </w:r>
      <w:proofErr w:type="spellEnd"/>
      <w:r w:rsidRPr="000F2E9E">
        <w:rPr>
          <w:rFonts w:ascii="Calibri" w:eastAsia="Calibri" w:hAnsi="Calibri" w:cs="Calibri"/>
          <w:b w:val="0"/>
          <w:bCs w:val="0"/>
          <w:sz w:val="18"/>
          <w:szCs w:val="22"/>
        </w:rPr>
        <w:t xml:space="preserve">) and its effect on mouse </w:t>
      </w:r>
      <w:proofErr w:type="spellStart"/>
      <w:r w:rsidRPr="000F2E9E">
        <w:rPr>
          <w:rFonts w:ascii="Calibri" w:eastAsia="Calibri" w:hAnsi="Calibri" w:cs="Calibri"/>
          <w:b w:val="0"/>
          <w:bCs w:val="0"/>
          <w:sz w:val="18"/>
          <w:szCs w:val="22"/>
        </w:rPr>
        <w:t>splenocyte</w:t>
      </w:r>
      <w:proofErr w:type="spellEnd"/>
      <w:r w:rsidRPr="000F2E9E">
        <w:rPr>
          <w:rFonts w:ascii="Calibri" w:eastAsia="Calibri" w:hAnsi="Calibri" w:cs="Calibri"/>
          <w:b w:val="0"/>
          <w:bCs w:val="0"/>
          <w:sz w:val="18"/>
          <w:szCs w:val="22"/>
        </w:rPr>
        <w:t xml:space="preserve"> proliferation in vitro and in vivo. Protein J, 33(1), 92-99.</w:t>
      </w:r>
      <w:hyperlink r:id="rId12" w:history="1">
        <w:r w:rsidR="00A242CE" w:rsidRPr="00A242CE">
          <w:rPr>
            <w:rFonts w:ascii="Calibri" w:eastAsia="Calibri" w:hAnsi="Calibri" w:cs="Calibri"/>
            <w:b w:val="0"/>
            <w:bCs w:val="0"/>
            <w:sz w:val="18"/>
            <w:szCs w:val="22"/>
          </w:rPr>
          <w:t>Zhang LW</w:t>
        </w:r>
      </w:hyperlink>
      <w:r w:rsidR="00A242CE" w:rsidRPr="00A242CE">
        <w:rPr>
          <w:rFonts w:ascii="Calibri" w:eastAsia="Calibri" w:hAnsi="Calibri" w:cs="Calibri"/>
          <w:b w:val="0"/>
          <w:bCs w:val="0"/>
          <w:sz w:val="18"/>
          <w:szCs w:val="22"/>
        </w:rPr>
        <w:t>1, </w:t>
      </w:r>
      <w:hyperlink r:id="rId13" w:history="1">
        <w:r w:rsidR="00A242CE" w:rsidRPr="00A242CE">
          <w:rPr>
            <w:rFonts w:ascii="Calibri" w:eastAsia="Calibri" w:hAnsi="Calibri" w:cs="Calibri"/>
            <w:b w:val="0"/>
            <w:bCs w:val="0"/>
            <w:sz w:val="18"/>
            <w:szCs w:val="22"/>
          </w:rPr>
          <w:t>Monteiro-</w:t>
        </w:r>
        <w:proofErr w:type="spellStart"/>
        <w:r w:rsidR="00A242CE" w:rsidRPr="00A242CE">
          <w:rPr>
            <w:rFonts w:ascii="Calibri" w:eastAsia="Calibri" w:hAnsi="Calibri" w:cs="Calibri"/>
            <w:b w:val="0"/>
            <w:bCs w:val="0"/>
            <w:sz w:val="18"/>
            <w:szCs w:val="22"/>
          </w:rPr>
          <w:t>Riviere</w:t>
        </w:r>
        <w:proofErr w:type="spellEnd"/>
        <w:r w:rsidR="00A242CE" w:rsidRPr="00A242CE">
          <w:rPr>
            <w:rFonts w:ascii="Calibri" w:eastAsia="Calibri" w:hAnsi="Calibri" w:cs="Calibri"/>
            <w:b w:val="0"/>
            <w:bCs w:val="0"/>
            <w:sz w:val="18"/>
            <w:szCs w:val="22"/>
          </w:rPr>
          <w:t xml:space="preserve"> NA</w:t>
        </w:r>
      </w:hyperlink>
      <w:r w:rsidR="00A242CE" w:rsidRPr="00A242CE">
        <w:rPr>
          <w:rFonts w:ascii="Calibri" w:eastAsia="Calibri" w:hAnsi="Calibri" w:cs="Calibri"/>
          <w:b w:val="0"/>
          <w:bCs w:val="0"/>
          <w:sz w:val="18"/>
          <w:szCs w:val="22"/>
        </w:rPr>
        <w:t>. (2010)</w:t>
      </w:r>
      <w:r w:rsidR="001021BD">
        <w:rPr>
          <w:rFonts w:ascii="Calibri" w:eastAsia="Calibri" w:hAnsi="Calibri" w:cs="Calibri"/>
          <w:b w:val="0"/>
          <w:bCs w:val="0"/>
          <w:sz w:val="18"/>
          <w:szCs w:val="22"/>
        </w:rPr>
        <w:t>.</w:t>
      </w:r>
      <w:r w:rsidR="00A242CE">
        <w:rPr>
          <w:rFonts w:ascii="Calibri" w:eastAsia="Calibri" w:hAnsi="Calibri" w:cs="Calibri"/>
          <w:b w:val="0"/>
          <w:bCs w:val="0"/>
          <w:sz w:val="18"/>
          <w:szCs w:val="22"/>
        </w:rPr>
        <w:t xml:space="preserve"> </w:t>
      </w:r>
      <w:r w:rsidR="00A242CE" w:rsidRPr="00A242CE">
        <w:rPr>
          <w:rFonts w:ascii="Calibri" w:eastAsia="Calibri" w:hAnsi="Calibri" w:cs="Calibri"/>
          <w:b w:val="0"/>
          <w:bCs w:val="0"/>
          <w:sz w:val="18"/>
          <w:szCs w:val="22"/>
        </w:rPr>
        <w:t>Lectins modulate multi-walled carbon nanotubes cellular uptake in human epidermal keratinocytes. 10.1016/j.tiv.2009.11.007</w:t>
      </w:r>
    </w:p>
    <w:p w:rsidR="000F2E9E" w:rsidRPr="000F2E9E" w:rsidRDefault="000F2E9E" w:rsidP="000F2E9E">
      <w:pPr>
        <w:pStyle w:val="EndNoteBibliography"/>
        <w:numPr>
          <w:ilvl w:val="0"/>
          <w:numId w:val="4"/>
        </w:numPr>
        <w:rPr>
          <w:rFonts w:asciiTheme="minorHAnsi" w:hAnsiTheme="minorHAnsi" w:cstheme="minorHAnsi"/>
          <w:szCs w:val="18"/>
        </w:rPr>
      </w:pPr>
      <w:r w:rsidRPr="000F2E9E">
        <w:rPr>
          <w:rFonts w:asciiTheme="minorHAnsi" w:hAnsiTheme="minorHAnsi" w:cstheme="minorHAnsi"/>
          <w:szCs w:val="18"/>
        </w:rPr>
        <w:fldChar w:fldCharType="begin"/>
      </w:r>
      <w:r w:rsidRPr="000F2E9E">
        <w:rPr>
          <w:rFonts w:asciiTheme="minorHAnsi" w:hAnsiTheme="minorHAnsi" w:cstheme="minorHAnsi"/>
          <w:szCs w:val="18"/>
        </w:rPr>
        <w:instrText xml:space="preserve"> ADDIN EN.REFLIST </w:instrText>
      </w:r>
      <w:r w:rsidRPr="000F2E9E">
        <w:rPr>
          <w:rFonts w:asciiTheme="minorHAnsi" w:hAnsiTheme="minorHAnsi" w:cstheme="minorHAnsi"/>
          <w:szCs w:val="18"/>
        </w:rPr>
        <w:fldChar w:fldCharType="separate"/>
      </w:r>
      <w:r w:rsidRPr="000F2E9E">
        <w:rPr>
          <w:rFonts w:asciiTheme="minorHAnsi" w:hAnsiTheme="minorHAnsi" w:cstheme="minorHAnsi"/>
          <w:szCs w:val="18"/>
        </w:rPr>
        <w:t xml:space="preserve">Coriolano, M. C., de Melo, C. M., Silva Fde, O., Schirato, G. V., Porto, C. S., dos Santos, P. J., . . . Coelho, L. C. (2014). Parkia pendula seed lectin: potential use to treat cutaneous wounds in healthy and immunocompromised mice. </w:t>
      </w:r>
      <w:r w:rsidRPr="000F2E9E">
        <w:rPr>
          <w:rFonts w:asciiTheme="minorHAnsi" w:hAnsiTheme="minorHAnsi" w:cstheme="minorHAnsi"/>
          <w:i/>
          <w:szCs w:val="18"/>
        </w:rPr>
        <w:t>Appl Biochem Biotechnol, 172</w:t>
      </w:r>
      <w:r w:rsidRPr="000F2E9E">
        <w:rPr>
          <w:rFonts w:asciiTheme="minorHAnsi" w:hAnsiTheme="minorHAnsi" w:cstheme="minorHAnsi"/>
          <w:szCs w:val="18"/>
        </w:rPr>
        <w:t xml:space="preserve">(5), 2682-2693. </w:t>
      </w:r>
    </w:p>
    <w:p w:rsidR="000F2E9E" w:rsidRPr="000F2E9E" w:rsidRDefault="000F2E9E" w:rsidP="000F2E9E">
      <w:pPr>
        <w:pStyle w:val="EndNoteBibliography"/>
        <w:numPr>
          <w:ilvl w:val="0"/>
          <w:numId w:val="4"/>
        </w:numPr>
        <w:rPr>
          <w:rFonts w:asciiTheme="minorHAnsi" w:hAnsiTheme="minorHAnsi" w:cstheme="minorHAnsi"/>
          <w:szCs w:val="18"/>
        </w:rPr>
      </w:pPr>
      <w:r w:rsidRPr="000F2E9E">
        <w:rPr>
          <w:rFonts w:asciiTheme="minorHAnsi" w:hAnsiTheme="minorHAnsi" w:cstheme="minorHAnsi"/>
          <w:szCs w:val="18"/>
        </w:rPr>
        <w:t xml:space="preserve">do Nascimento-Neto, L. G., Carneiro, R. F., da Silva, S. R., da Silva, B. R., Vassiliepe Sousa Arruda, F., Carneiro, V. A., . . . Nagano, C. S. (2012). Characterization of isoforms of the lectin isolated from the red algae Bryothamnion seaforthii and its pro-healing effect. </w:t>
      </w:r>
      <w:r w:rsidRPr="000F2E9E">
        <w:rPr>
          <w:rFonts w:asciiTheme="minorHAnsi" w:hAnsiTheme="minorHAnsi" w:cstheme="minorHAnsi"/>
          <w:i/>
          <w:szCs w:val="18"/>
        </w:rPr>
        <w:t>Mar Drugs, 10</w:t>
      </w:r>
      <w:r w:rsidRPr="000F2E9E">
        <w:rPr>
          <w:rFonts w:asciiTheme="minorHAnsi" w:hAnsiTheme="minorHAnsi" w:cstheme="minorHAnsi"/>
          <w:szCs w:val="18"/>
        </w:rPr>
        <w:t>(9), 1936-1954.</w:t>
      </w:r>
    </w:p>
    <w:p w:rsidR="000F2E9E" w:rsidRPr="000F2E9E" w:rsidRDefault="000F2E9E" w:rsidP="000F2E9E">
      <w:pPr>
        <w:pStyle w:val="EndNoteBibliography"/>
        <w:numPr>
          <w:ilvl w:val="0"/>
          <w:numId w:val="4"/>
        </w:numPr>
        <w:rPr>
          <w:rFonts w:asciiTheme="minorHAnsi" w:hAnsiTheme="minorHAnsi" w:cstheme="minorHAnsi"/>
          <w:szCs w:val="18"/>
        </w:rPr>
      </w:pPr>
      <w:r w:rsidRPr="000F2E9E">
        <w:rPr>
          <w:rFonts w:asciiTheme="minorHAnsi" w:hAnsiTheme="minorHAnsi" w:cstheme="minorHAnsi"/>
          <w:szCs w:val="18"/>
        </w:rPr>
        <w:t xml:space="preserve">Neto, L. G., Pinto Lda, S., Bastos, R. M., Evaristo, F. F., Vasconcelos, M. A., Carneiro, V. A., . . . Teixeira, E. H. (2011). Effect of the lectin of Bauhinia variegata and its recombinant isoform on surgically induced skin wounds in a murine model. </w:t>
      </w:r>
      <w:r w:rsidRPr="000F2E9E">
        <w:rPr>
          <w:rFonts w:asciiTheme="minorHAnsi" w:hAnsiTheme="minorHAnsi" w:cstheme="minorHAnsi"/>
          <w:i/>
          <w:szCs w:val="18"/>
        </w:rPr>
        <w:t>Molecules, 16</w:t>
      </w:r>
      <w:r w:rsidRPr="000F2E9E">
        <w:rPr>
          <w:rFonts w:asciiTheme="minorHAnsi" w:hAnsiTheme="minorHAnsi" w:cstheme="minorHAnsi"/>
          <w:szCs w:val="18"/>
        </w:rPr>
        <w:t xml:space="preserve">(11), 9298-9315. </w:t>
      </w:r>
    </w:p>
    <w:p w:rsidR="000F2E9E" w:rsidRPr="000F2E9E" w:rsidRDefault="000F2E9E" w:rsidP="000F2E9E">
      <w:pPr>
        <w:pStyle w:val="EndNoteBibliography"/>
        <w:numPr>
          <w:ilvl w:val="0"/>
          <w:numId w:val="4"/>
        </w:numPr>
        <w:rPr>
          <w:rFonts w:asciiTheme="minorHAnsi" w:hAnsiTheme="minorHAnsi" w:cstheme="minorHAnsi"/>
          <w:szCs w:val="18"/>
        </w:rPr>
      </w:pPr>
      <w:r w:rsidRPr="000F2E9E">
        <w:rPr>
          <w:rFonts w:asciiTheme="minorHAnsi" w:hAnsiTheme="minorHAnsi" w:cstheme="minorHAnsi"/>
          <w:szCs w:val="18"/>
        </w:rPr>
        <w:t xml:space="preserve">Zhang, L. W., &amp; Monteiro-Riviere, N. A. (2010). Lectins modulate multi-walled carbon nanotubes cellular uptake in human epidermal keratinocytes. </w:t>
      </w:r>
      <w:r w:rsidRPr="000F2E9E">
        <w:rPr>
          <w:rFonts w:asciiTheme="minorHAnsi" w:hAnsiTheme="minorHAnsi" w:cstheme="minorHAnsi"/>
          <w:i/>
          <w:szCs w:val="18"/>
        </w:rPr>
        <w:t>Toxicol In Vitro, 24</w:t>
      </w:r>
      <w:r w:rsidRPr="000F2E9E">
        <w:rPr>
          <w:rFonts w:asciiTheme="minorHAnsi" w:hAnsiTheme="minorHAnsi" w:cstheme="minorHAnsi"/>
          <w:szCs w:val="18"/>
        </w:rPr>
        <w:t xml:space="preserve">(2), 546-551. </w:t>
      </w:r>
    </w:p>
    <w:p w:rsidR="00CF564C" w:rsidRPr="007A2D56" w:rsidRDefault="000F2E9E" w:rsidP="000F2E9E">
      <w:pPr>
        <w:ind w:left="100"/>
        <w:rPr>
          <w:rFonts w:ascii="Calibri" w:hAnsi="Calibri" w:cs="Calibri"/>
        </w:rPr>
      </w:pPr>
      <w:r w:rsidRPr="000F2E9E">
        <w:rPr>
          <w:rFonts w:asciiTheme="minorHAnsi" w:hAnsiTheme="minorHAnsi" w:cstheme="minorHAnsi"/>
          <w:sz w:val="18"/>
          <w:szCs w:val="18"/>
        </w:rPr>
        <w:fldChar w:fldCharType="end"/>
      </w:r>
    </w:p>
    <w:p w:rsidR="00CF564C" w:rsidRDefault="00CF564C" w:rsidP="00CF564C">
      <w:pPr>
        <w:pStyle w:val="BodyText"/>
        <w:spacing w:line="40" w:lineRule="exact"/>
        <w:ind w:left="2202"/>
        <w:rPr>
          <w:rFonts w:ascii="Calibri"/>
          <w:sz w:val="4"/>
        </w:rPr>
      </w:pPr>
    </w:p>
    <w:p w:rsidR="00CF564C" w:rsidRPr="00CF564C" w:rsidRDefault="00CF564C" w:rsidP="00CF564C">
      <w:pPr>
        <w:pStyle w:val="ListParagraph"/>
        <w:widowControl/>
        <w:numPr>
          <w:ilvl w:val="0"/>
          <w:numId w:val="4"/>
        </w:numPr>
        <w:autoSpaceDE w:val="0"/>
        <w:autoSpaceDN w:val="0"/>
        <w:adjustRightInd w:val="0"/>
        <w:rPr>
          <w:sz w:val="18"/>
        </w:rPr>
        <w:sectPr w:rsidR="00CF564C" w:rsidRPr="00CF564C">
          <w:type w:val="continuous"/>
          <w:pgSz w:w="11910" w:h="16840"/>
          <w:pgMar w:top="1740" w:right="600" w:bottom="840" w:left="620" w:header="720" w:footer="720" w:gutter="0"/>
          <w:cols w:num="2" w:space="720" w:equalWidth="0">
            <w:col w:w="5214" w:space="138"/>
            <w:col w:w="5338"/>
          </w:cols>
        </w:sectPr>
      </w:pPr>
    </w:p>
    <w:p w:rsidR="00B829EE" w:rsidRDefault="00CF564C" w:rsidP="007A2D56">
      <w:pPr>
        <w:rPr>
          <w:rFonts w:ascii="Arial"/>
          <w:color w:val="BF5A14"/>
        </w:rPr>
      </w:pPr>
      <w:r>
        <w:rPr>
          <w:rFonts w:ascii="Calibri"/>
          <w:noProof/>
          <w:sz w:val="4"/>
        </w:rPr>
        <w:lastRenderedPageBreak/>
        <mc:AlternateContent>
          <mc:Choice Requires="wpg">
            <w:drawing>
              <wp:inline distT="0" distB="0" distL="0" distR="0" wp14:anchorId="254124A9" wp14:editId="4F28323F">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652D9F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303E99" w:rsidRPr="00303E99" w:rsidRDefault="000F2E9E" w:rsidP="005011D0">
      <w:pPr>
        <w:spacing w:before="92"/>
        <w:ind w:right="4234"/>
        <w:rPr>
          <w:rFonts w:cstheme="minorBidi"/>
          <w:noProof/>
          <w:rtl/>
          <w:lang w:bidi="fa-IR"/>
        </w:rPr>
      </w:pPr>
      <w:r>
        <w:rPr>
          <w:rFonts w:cstheme="minorBidi" w:hint="cs"/>
          <w:noProof/>
          <w:rtl/>
        </w:rPr>
        <w:drawing>
          <wp:anchor distT="0" distB="0" distL="114300" distR="114300" simplePos="0" relativeHeight="251661312" behindDoc="0" locked="0" layoutInCell="1" allowOverlap="1" wp14:anchorId="204DDB6C" wp14:editId="65E79167">
            <wp:simplePos x="0" y="0"/>
            <wp:positionH relativeFrom="margin">
              <wp:align>left</wp:align>
            </wp:positionH>
            <wp:positionV relativeFrom="margin">
              <wp:posOffset>7194550</wp:posOffset>
            </wp:positionV>
            <wp:extent cx="1570355" cy="1046480"/>
            <wp:effectExtent l="0" t="0" r="0" b="127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_0357.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570355" cy="1046480"/>
                    </a:xfrm>
                    <a:prstGeom prst="rect">
                      <a:avLst/>
                    </a:prstGeom>
                  </pic:spPr>
                </pic:pic>
              </a:graphicData>
            </a:graphic>
            <wp14:sizeRelH relativeFrom="margin">
              <wp14:pctWidth>0</wp14:pctWidth>
            </wp14:sizeRelH>
            <wp14:sizeRelV relativeFrom="margin">
              <wp14:pctHeight>0</wp14:pctHeight>
            </wp14:sizeRelV>
          </wp:anchor>
        </w:drawing>
      </w:r>
    </w:p>
    <w:p w:rsidR="00AE3E37" w:rsidRDefault="00A9710C" w:rsidP="005011D0">
      <w:pPr>
        <w:spacing w:before="92"/>
        <w:ind w:right="4234"/>
        <w:rPr>
          <w:rFonts w:ascii="Arial"/>
        </w:rPr>
      </w:pPr>
      <w:r>
        <w:rPr>
          <w:rFonts w:ascii="Arial"/>
          <w:color w:val="BF5A14"/>
        </w:rPr>
        <w:t>Biography</w:t>
      </w:r>
      <w:r w:rsidR="00404E5B">
        <w:rPr>
          <w:rFonts w:ascii="Arial"/>
          <w:color w:val="BF5A14"/>
        </w:rPr>
        <w:t xml:space="preserve"> </w:t>
      </w:r>
    </w:p>
    <w:p w:rsidR="009F7B98" w:rsidRPr="009F7B98" w:rsidRDefault="005D0994" w:rsidP="000F2E9E">
      <w:pPr>
        <w:jc w:val="both"/>
        <w:rPr>
          <w:rFonts w:ascii="Arial"/>
          <w:sz w:val="14"/>
        </w:rPr>
      </w:pPr>
      <w:proofErr w:type="spellStart"/>
      <w:r>
        <w:rPr>
          <w:rFonts w:ascii="Arial"/>
          <w:sz w:val="14"/>
        </w:rPr>
        <w:t>Emadeddin</w:t>
      </w:r>
      <w:proofErr w:type="spellEnd"/>
      <w:r>
        <w:rPr>
          <w:rFonts w:ascii="Arial"/>
          <w:sz w:val="14"/>
        </w:rPr>
        <w:t xml:space="preserve"> </w:t>
      </w:r>
      <w:proofErr w:type="spellStart"/>
      <w:r>
        <w:rPr>
          <w:rFonts w:ascii="Arial"/>
          <w:sz w:val="14"/>
        </w:rPr>
        <w:t>Mobedi</w:t>
      </w:r>
      <w:proofErr w:type="spellEnd"/>
      <w:r w:rsidR="00480B46">
        <w:rPr>
          <w:rFonts w:ascii="Arial"/>
          <w:sz w:val="14"/>
        </w:rPr>
        <w:t xml:space="preserve"> is DVM student of university of Tehran. he </w:t>
      </w:r>
      <w:r w:rsidR="005A5C80" w:rsidRPr="005D0994">
        <w:rPr>
          <w:rFonts w:ascii="Arial"/>
          <w:sz w:val="14"/>
        </w:rPr>
        <w:t>has started researching in cosmetology and dermatology fi</w:t>
      </w:r>
      <w:r>
        <w:rPr>
          <w:rFonts w:ascii="Arial"/>
          <w:sz w:val="14"/>
        </w:rPr>
        <w:t xml:space="preserve">eld since his second year of </w:t>
      </w:r>
      <w:r w:rsidR="00480B46">
        <w:rPr>
          <w:rFonts w:ascii="Arial"/>
          <w:sz w:val="14"/>
        </w:rPr>
        <w:t>university.</w:t>
      </w:r>
      <w:r>
        <w:rPr>
          <w:rFonts w:ascii="Arial"/>
          <w:sz w:val="14"/>
        </w:rPr>
        <w:t xml:space="preserve"> </w:t>
      </w:r>
      <w:r w:rsidRPr="005D0994">
        <w:rPr>
          <w:rFonts w:ascii="Arial"/>
          <w:sz w:val="14"/>
        </w:rPr>
        <w:t>in that year he had a lecture about animal skin modeling as first Scientific</w:t>
      </w:r>
      <w:r>
        <w:rPr>
          <w:rFonts w:ascii="Arial"/>
          <w:sz w:val="14"/>
        </w:rPr>
        <w:t xml:space="preserve"> activity</w:t>
      </w:r>
      <w:r w:rsidR="00480B46">
        <w:rPr>
          <w:rFonts w:ascii="Arial"/>
          <w:sz w:val="14"/>
        </w:rPr>
        <w:t>.</w:t>
      </w:r>
      <w:r w:rsidR="005A5C80" w:rsidRPr="005D0994">
        <w:rPr>
          <w:rFonts w:ascii="Arial"/>
          <w:sz w:val="14"/>
        </w:rPr>
        <w:t xml:space="preserve"> </w:t>
      </w:r>
      <w:r w:rsidR="00480B46">
        <w:rPr>
          <w:rFonts w:ascii="Arial"/>
          <w:sz w:val="14"/>
        </w:rPr>
        <w:t>D</w:t>
      </w:r>
      <w:r w:rsidRPr="005D0994">
        <w:rPr>
          <w:rFonts w:ascii="Arial"/>
          <w:sz w:val="14"/>
        </w:rPr>
        <w:t>ur</w:t>
      </w:r>
      <w:r w:rsidR="005A5C80" w:rsidRPr="005D0994">
        <w:rPr>
          <w:rFonts w:ascii="Arial"/>
          <w:sz w:val="14"/>
        </w:rPr>
        <w:t>in</w:t>
      </w:r>
      <w:r w:rsidRPr="005D0994">
        <w:rPr>
          <w:rFonts w:ascii="Arial"/>
          <w:sz w:val="14"/>
        </w:rPr>
        <w:t>g his second year</w:t>
      </w:r>
      <w:r w:rsidR="00480B46">
        <w:rPr>
          <w:rFonts w:ascii="Arial"/>
          <w:sz w:val="14"/>
        </w:rPr>
        <w:t xml:space="preserve"> of DVM he presented a poster</w:t>
      </w:r>
      <w:r w:rsidRPr="005D0994">
        <w:rPr>
          <w:rFonts w:ascii="Arial"/>
          <w:sz w:val="14"/>
        </w:rPr>
        <w:t xml:space="preserve"> about </w:t>
      </w:r>
      <w:r w:rsidRPr="009F7B98">
        <w:rPr>
          <w:rFonts w:ascii="Arial"/>
          <w:sz w:val="14"/>
        </w:rPr>
        <w:t>Synchronic effect of burdock and lemon peel extract on sebaceous glands activity</w:t>
      </w:r>
      <w:r w:rsidRPr="005D0994">
        <w:rPr>
          <w:rFonts w:ascii="Arial"/>
          <w:sz w:val="14"/>
        </w:rPr>
        <w:t xml:space="preserve"> in</w:t>
      </w:r>
      <w:r w:rsidR="005A5C80" w:rsidRPr="005D0994">
        <w:rPr>
          <w:rFonts w:ascii="Arial"/>
          <w:sz w:val="14"/>
        </w:rPr>
        <w:t xml:space="preserve"> 13th Asian Societies of Cosmetic Scientists </w:t>
      </w:r>
      <w:r w:rsidR="00480B46" w:rsidRPr="005D0994">
        <w:rPr>
          <w:rFonts w:ascii="Arial"/>
          <w:sz w:val="14"/>
        </w:rPr>
        <w:t>Conference.</w:t>
      </w:r>
      <w:r w:rsidR="005A5C80" w:rsidRPr="005D0994">
        <w:rPr>
          <w:rFonts w:ascii="Arial"/>
          <w:sz w:val="14"/>
        </w:rPr>
        <w:t xml:space="preserve"> Now in third year of his studying he </w:t>
      </w:r>
      <w:r w:rsidR="00DF0928" w:rsidRPr="005D0994">
        <w:rPr>
          <w:rFonts w:ascii="Arial"/>
          <w:sz w:val="14"/>
        </w:rPr>
        <w:t>works</w:t>
      </w:r>
      <w:r w:rsidR="005A5C80" w:rsidRPr="005D0994">
        <w:rPr>
          <w:rFonts w:ascii="Arial"/>
          <w:sz w:val="14"/>
        </w:rPr>
        <w:t xml:space="preserve"> on </w:t>
      </w:r>
      <w:r w:rsidR="009F7B98" w:rsidRPr="009F7B98">
        <w:rPr>
          <w:rFonts w:ascii="Arial"/>
          <w:sz w:val="14"/>
        </w:rPr>
        <w:t>h</w:t>
      </w:r>
      <w:r w:rsidR="000F2E9E">
        <w:rPr>
          <w:rFonts w:ascii="Arial"/>
          <w:sz w:val="14"/>
        </w:rPr>
        <w:t>uman keratinocyte proliferation.</w:t>
      </w:r>
    </w:p>
    <w:p w:rsidR="00AE3E37" w:rsidRPr="00B829EE" w:rsidRDefault="00A9710C" w:rsidP="00DC1AC3">
      <w:pPr>
        <w:spacing w:before="62"/>
        <w:ind w:left="4217" w:right="4235"/>
        <w:jc w:val="center"/>
        <w:rPr>
          <w:rFonts w:ascii="Arial"/>
          <w:sz w:val="14"/>
        </w:rPr>
        <w:sectPr w:rsidR="00AE3E37" w:rsidRPr="00B829EE">
          <w:type w:val="continuous"/>
          <w:pgSz w:w="11910" w:h="16840"/>
          <w:pgMar w:top="1740" w:right="600" w:bottom="840" w:left="620" w:header="720" w:footer="720" w:gutter="0"/>
          <w:cols w:space="720"/>
        </w:sectPr>
      </w:pPr>
      <w:r>
        <w:rPr>
          <w:rFonts w:ascii="Arial"/>
          <w:sz w:val="14"/>
        </w:rPr>
        <w:t xml:space="preserve">Email: </w:t>
      </w:r>
      <w:r w:rsidR="00DC1AC3">
        <w:rPr>
          <w:rFonts w:ascii="Arial"/>
          <w:sz w:val="14"/>
        </w:rPr>
        <w:t>emadmobedi@ut.ac.ir</w:t>
      </w:r>
    </w:p>
    <w:p w:rsidR="00AE3E37" w:rsidRPr="005D0994" w:rsidRDefault="00480B46" w:rsidP="00B829EE">
      <w:pPr>
        <w:pStyle w:val="EndNoteBibliography"/>
        <w:rPr>
          <w:rFonts w:ascii="Minion Pro" w:cstheme="minorBidi"/>
          <w:sz w:val="26"/>
          <w:rtl/>
          <w:lang w:bidi="fa-IR"/>
        </w:rPr>
      </w:pPr>
      <w:r>
        <mc:AlternateContent>
          <mc:Choice Requires="wps">
            <w:drawing>
              <wp:anchor distT="0" distB="0" distL="0" distR="0" simplePos="0" relativeHeight="251654656" behindDoc="0" locked="0" layoutInCell="1" allowOverlap="1" wp14:anchorId="1D84B3C9" wp14:editId="06F1D800">
                <wp:simplePos x="0" y="0"/>
                <wp:positionH relativeFrom="page">
                  <wp:align>center</wp:align>
                </wp:positionH>
                <wp:positionV relativeFrom="paragraph">
                  <wp:posOffset>40640</wp:posOffset>
                </wp:positionV>
                <wp:extent cx="3442335" cy="0"/>
                <wp:effectExtent l="0" t="0" r="24765" b="1905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0009AB" id="Line 3" o:spid="_x0000_s1026" style="position:absolute;z-index:251654656;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 from="0,3.2pt" to="271.05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" strokecolor="#004080" strokeweight=".5pt">
                <w10:wrap type="topAndBottom" anchorx="page"/>
              </v:line>
            </w:pict>
          </mc:Fallback>
        </mc:AlternateContent>
      </w:r>
    </w:p>
    <w:sectPr w:rsidR="00AE3E37" w:rsidRPr="005D0994"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1EF7" w:rsidRDefault="00371EF7">
      <w:r>
        <w:separator/>
      </w:r>
    </w:p>
  </w:endnote>
  <w:endnote w:type="continuationSeparator" w:id="0">
    <w:p w:rsidR="00371EF7" w:rsidRDefault="00371E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charset w:val="00"/>
    <w:family w:val="roman"/>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52" behindDoc="1" locked="0" layoutInCell="1" allowOverlap="1" wp14:anchorId="67F51F16" wp14:editId="41B6833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F51F16"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1EF7" w:rsidRDefault="00371EF7">
      <w:r>
        <w:separator/>
      </w:r>
    </w:p>
  </w:footnote>
  <w:footnote w:type="continuationSeparator" w:id="0">
    <w:p w:rsidR="00371EF7" w:rsidRDefault="00371EF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14:anchorId="080CF1C4" wp14:editId="73A3A4C5">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0CF1C4"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75453B44"/>
    <w:multiLevelType w:val="hybridMultilevel"/>
    <w:tmpl w:val="D362E366"/>
    <w:lvl w:ilvl="0" w:tplc="D2D4B1D6">
      <w:start w:val="1"/>
      <w:numFmt w:val="decimal"/>
      <w:lvlText w:val="%1."/>
      <w:lvlJc w:val="left"/>
      <w:pPr>
        <w:ind w:left="460" w:hanging="360"/>
      </w:pPr>
      <w:rPr>
        <w:rFonts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8"/>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w Cen MT&lt;/FontName&gt;&lt;FontSize&gt;9&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sr5w2dzotf09kedw0a5awtyfsdewaeasdxv&quot;&gt;My EndNote Library&lt;record-ids&gt;&lt;item&gt;103&lt;/item&gt;&lt;/record-ids&gt;&lt;/item&gt;&lt;/Libraries&gt;"/>
  </w:docVars>
  <w:rsids>
    <w:rsidRoot w:val="00AE3E37"/>
    <w:rsid w:val="000402B7"/>
    <w:rsid w:val="000B56FD"/>
    <w:rsid w:val="000E2911"/>
    <w:rsid w:val="000F2E9E"/>
    <w:rsid w:val="001021BD"/>
    <w:rsid w:val="001162C3"/>
    <w:rsid w:val="001263DF"/>
    <w:rsid w:val="001D6FAD"/>
    <w:rsid w:val="002455EC"/>
    <w:rsid w:val="00292ED9"/>
    <w:rsid w:val="00303E99"/>
    <w:rsid w:val="00351B2C"/>
    <w:rsid w:val="00371EF7"/>
    <w:rsid w:val="00404E5B"/>
    <w:rsid w:val="00414F7B"/>
    <w:rsid w:val="004355DC"/>
    <w:rsid w:val="004547C7"/>
    <w:rsid w:val="004749B4"/>
    <w:rsid w:val="00480B46"/>
    <w:rsid w:val="00494130"/>
    <w:rsid w:val="004A1173"/>
    <w:rsid w:val="004F3523"/>
    <w:rsid w:val="005011D0"/>
    <w:rsid w:val="00541E82"/>
    <w:rsid w:val="005973B9"/>
    <w:rsid w:val="005A5C80"/>
    <w:rsid w:val="005B3A56"/>
    <w:rsid w:val="005D0994"/>
    <w:rsid w:val="006060CE"/>
    <w:rsid w:val="00612156"/>
    <w:rsid w:val="0063497F"/>
    <w:rsid w:val="006866B2"/>
    <w:rsid w:val="006E45CA"/>
    <w:rsid w:val="007A2D56"/>
    <w:rsid w:val="00873DF0"/>
    <w:rsid w:val="008756E6"/>
    <w:rsid w:val="008A08B6"/>
    <w:rsid w:val="008A6087"/>
    <w:rsid w:val="008D0899"/>
    <w:rsid w:val="009B2D44"/>
    <w:rsid w:val="009F7B98"/>
    <w:rsid w:val="00A07E82"/>
    <w:rsid w:val="00A242CE"/>
    <w:rsid w:val="00A64D18"/>
    <w:rsid w:val="00A9710C"/>
    <w:rsid w:val="00AE3E37"/>
    <w:rsid w:val="00B21A57"/>
    <w:rsid w:val="00B829EE"/>
    <w:rsid w:val="00C33602"/>
    <w:rsid w:val="00C95157"/>
    <w:rsid w:val="00CD6F55"/>
    <w:rsid w:val="00CF564C"/>
    <w:rsid w:val="00DC1AC3"/>
    <w:rsid w:val="00DE3104"/>
    <w:rsid w:val="00DF0928"/>
    <w:rsid w:val="00E26B10"/>
    <w:rsid w:val="00E8344F"/>
    <w:rsid w:val="00E93CAA"/>
    <w:rsid w:val="00ED2F5A"/>
    <w:rsid w:val="00F040DB"/>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759684B-0B7A-4B10-AB89-C67948321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EndNoteBibliographyTitle">
    <w:name w:val="EndNote Bibliography Title"/>
    <w:basedOn w:val="Normal"/>
    <w:link w:val="EndNoteBibliographyTitleChar"/>
    <w:rsid w:val="004A1173"/>
    <w:pPr>
      <w:jc w:val="center"/>
    </w:pPr>
    <w:rPr>
      <w:noProof/>
      <w:sz w:val="18"/>
    </w:rPr>
  </w:style>
  <w:style w:type="character" w:customStyle="1" w:styleId="EndNoteBibliographyTitleChar">
    <w:name w:val="EndNote Bibliography Title Char"/>
    <w:basedOn w:val="BodyTextChar"/>
    <w:link w:val="EndNoteBibliographyTitle"/>
    <w:rsid w:val="004A1173"/>
    <w:rPr>
      <w:rFonts w:ascii="Tw Cen MT" w:eastAsia="Tw Cen MT" w:hAnsi="Tw Cen MT" w:cs="Tw Cen MT"/>
      <w:noProof/>
      <w:sz w:val="18"/>
      <w:szCs w:val="18"/>
    </w:rPr>
  </w:style>
  <w:style w:type="paragraph" w:customStyle="1" w:styleId="EndNoteBibliography">
    <w:name w:val="EndNote Bibliography"/>
    <w:basedOn w:val="Normal"/>
    <w:link w:val="EndNoteBibliographyChar"/>
    <w:rsid w:val="004A1173"/>
    <w:rPr>
      <w:noProof/>
      <w:sz w:val="18"/>
    </w:rPr>
  </w:style>
  <w:style w:type="character" w:customStyle="1" w:styleId="EndNoteBibliographyChar">
    <w:name w:val="EndNote Bibliography Char"/>
    <w:basedOn w:val="BodyTextChar"/>
    <w:link w:val="EndNoteBibliography"/>
    <w:rsid w:val="004A1173"/>
    <w:rPr>
      <w:rFonts w:ascii="Tw Cen MT" w:eastAsia="Tw Cen MT" w:hAnsi="Tw Cen MT" w:cs="Tw Cen MT"/>
      <w:noProof/>
      <w:sz w:val="18"/>
      <w:szCs w:val="18"/>
    </w:rPr>
  </w:style>
  <w:style w:type="character" w:customStyle="1" w:styleId="shorttext">
    <w:name w:val="short_text"/>
    <w:basedOn w:val="DefaultParagraphFont"/>
    <w:rsid w:val="00DC1AC3"/>
  </w:style>
  <w:style w:type="character" w:customStyle="1" w:styleId="ins">
    <w:name w:val="ins"/>
    <w:basedOn w:val="DefaultParagraphFont"/>
    <w:rsid w:val="00DC1AC3"/>
  </w:style>
  <w:style w:type="character" w:customStyle="1" w:styleId="highlight">
    <w:name w:val="highlight"/>
    <w:basedOn w:val="DefaultParagraphFont"/>
    <w:rsid w:val="00A242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7060335">
      <w:bodyDiv w:val="1"/>
      <w:marLeft w:val="0"/>
      <w:marRight w:val="0"/>
      <w:marTop w:val="0"/>
      <w:marBottom w:val="0"/>
      <w:divBdr>
        <w:top w:val="none" w:sz="0" w:space="0" w:color="auto"/>
        <w:left w:val="none" w:sz="0" w:space="0" w:color="auto"/>
        <w:bottom w:val="none" w:sz="0" w:space="0" w:color="auto"/>
        <w:right w:val="none" w:sz="0" w:space="0" w:color="auto"/>
      </w:divBdr>
    </w:div>
    <w:div w:id="430662056">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91608856">
      <w:bodyDiv w:val="1"/>
      <w:marLeft w:val="0"/>
      <w:marRight w:val="0"/>
      <w:marTop w:val="0"/>
      <w:marBottom w:val="0"/>
      <w:divBdr>
        <w:top w:val="none" w:sz="0" w:space="0" w:color="auto"/>
        <w:left w:val="none" w:sz="0" w:space="0" w:color="auto"/>
        <w:bottom w:val="none" w:sz="0" w:space="0" w:color="auto"/>
        <w:right w:val="none" w:sz="0" w:space="0" w:color="auto"/>
      </w:divBdr>
    </w:div>
    <w:div w:id="901521181">
      <w:bodyDiv w:val="1"/>
      <w:marLeft w:val="0"/>
      <w:marRight w:val="0"/>
      <w:marTop w:val="0"/>
      <w:marBottom w:val="0"/>
      <w:divBdr>
        <w:top w:val="none" w:sz="0" w:space="0" w:color="auto"/>
        <w:left w:val="none" w:sz="0" w:space="0" w:color="auto"/>
        <w:bottom w:val="none" w:sz="0" w:space="0" w:color="auto"/>
        <w:right w:val="none" w:sz="0" w:space="0" w:color="auto"/>
      </w:divBdr>
    </w:div>
    <w:div w:id="1230582072">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ncbi.nlm.nih.gov/pubmed/?term=Monteiro-Riviere%20NA%5BAuthor%5D&amp;cauthor=true&amp;cauthor_uid=19913088"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ncbi.nlm.nih.gov/pubmed/?term=Zhang%20LW%5BAuthor%5D&amp;cauthor=true&amp;cauthor_uid=19913088"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B25224-53B1-4C5C-B3C6-9DA402F1EF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Pages>
  <Words>697</Words>
  <Characters>3973</Characters>
  <Application>Microsoft Office Word</Application>
  <DocSecurity>0</DocSecurity>
  <Lines>33</Lines>
  <Paragraphs>9</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        Abstract </vt:lpstr>
      <vt:lpstr>        Image</vt:lpstr>
      <vt:lpstr>Pereira, P. R., Del Aguila, E. M., Vericimo, M. A., Zingali, R. B., Paschoalin, </vt:lpstr>
    </vt:vector>
  </TitlesOfParts>
  <Company>Microsoft</Company>
  <LinksUpToDate>false</LinksUpToDate>
  <CharactersWithSpaces>4661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Emad</cp:lastModifiedBy>
  <cp:revision>10</cp:revision>
  <dcterms:created xsi:type="dcterms:W3CDTF">2017-10-27T11:40:00Z</dcterms:created>
  <dcterms:modified xsi:type="dcterms:W3CDTF">2017-10-27T18:38:00Z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