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E3E37">
      <w:pPr>
        <w:pStyle w:val="BodyText"/>
        <w:rPr>
          <w:rFonts w:ascii="Times New Roman"/>
          <w:sz w:val="20"/>
        </w:rPr>
      </w:pPr>
    </w:p>
    <w:p w:rsidR="00D721B7" w:rsidRDefault="00D721B7">
      <w:pPr>
        <w:pStyle w:val="BodyText"/>
        <w:rPr>
          <w:rFonts w:ascii="Times New Roman"/>
          <w:sz w:val="20"/>
        </w:rPr>
      </w:pPr>
    </w:p>
    <w:p w:rsidR="00D721B7" w:rsidRDefault="00D721B7" w:rsidP="00D721B7">
      <w:pPr>
        <w:jc w:val="both"/>
        <w:rPr>
          <w:rFonts w:ascii="Times New Roman" w:hAnsi="Times New Roman" w:cs="Times New Roman"/>
          <w:sz w:val="24"/>
          <w:szCs w:val="24"/>
        </w:rPr>
      </w:pPr>
      <w:r>
        <w:rPr>
          <w:rFonts w:ascii="Times New Roman" w:hAnsi="Times New Roman" w:cs="Times New Roman"/>
          <w:sz w:val="24"/>
          <w:szCs w:val="24"/>
        </w:rPr>
        <w:t xml:space="preserve">PRP Nomenclature Review– How to determine the most effective PRP system for Best Practice. </w:t>
      </w:r>
    </w:p>
    <w:p w:rsidR="00D721B7" w:rsidRDefault="00D721B7">
      <w:pPr>
        <w:pStyle w:val="BodyText"/>
        <w:rPr>
          <w:rFonts w:ascii="Times New Roman"/>
          <w:sz w:val="20"/>
        </w:rPr>
      </w:pPr>
    </w:p>
    <w:p w:rsidR="00AE3E37" w:rsidRPr="00D721B7" w:rsidRDefault="00D721B7" w:rsidP="00D721B7">
      <w:pPr>
        <w:pStyle w:val="BodyText"/>
        <w:rPr>
          <w:rFonts w:ascii="Arial"/>
          <w:sz w:val="20"/>
        </w:rPr>
      </w:pPr>
      <w:r>
        <w:rPr>
          <w:rFonts w:ascii="Arial"/>
        </w:rPr>
        <w:t xml:space="preserve">Jeannie Devereaux BchHlthSc Dermal Sciences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t>Abstract</w:t>
      </w:r>
      <w:r w:rsidR="00404E5B">
        <w:rPr>
          <w:color w:val="BF5A14"/>
        </w:rPr>
        <w:t xml:space="preserve"> </w:t>
      </w:r>
    </w:p>
    <w:p w:rsidR="00D721B7" w:rsidRPr="00D721B7" w:rsidRDefault="00D721B7" w:rsidP="00D721B7">
      <w:pPr>
        <w:ind w:firstLine="720"/>
        <w:rPr>
          <w:rFonts w:ascii="Times New Roman" w:hAnsi="Times New Roman" w:cs="Times New Roman"/>
          <w:color w:val="000000"/>
          <w:sz w:val="20"/>
          <w:szCs w:val="24"/>
        </w:rPr>
      </w:pPr>
      <w:r w:rsidRPr="00D721B7">
        <w:rPr>
          <w:rFonts w:ascii="Times New Roman" w:hAnsi="Times New Roman" w:cs="Times New Roman"/>
          <w:color w:val="000000"/>
          <w:sz w:val="20"/>
          <w:szCs w:val="24"/>
        </w:rPr>
        <w:t xml:space="preserve">PRP point-of-care devices vary from commonplace laboratory tubes to highly advanced automated cell separating apparatuses, and inconsistent centrifugation parameters. Final platelet counts range from </w:t>
      </w:r>
      <w:r w:rsidRPr="00D721B7">
        <w:rPr>
          <w:rFonts w:ascii="Times New Roman" w:hAnsi="Times New Roman" w:cs="Times New Roman"/>
          <w:color w:val="000000"/>
          <w:sz w:val="20"/>
          <w:szCs w:val="24"/>
          <w:shd w:val="clear" w:color="auto" w:fill="FFFFFF"/>
          <w:lang w:val="en-AU"/>
        </w:rPr>
        <w:t>3 x 10</w:t>
      </w:r>
      <w:r w:rsidRPr="00D721B7">
        <w:rPr>
          <w:rFonts w:ascii="Times New Roman" w:hAnsi="Times New Roman" w:cs="Times New Roman"/>
          <w:color w:val="000000"/>
          <w:sz w:val="20"/>
          <w:szCs w:val="24"/>
          <w:shd w:val="clear" w:color="auto" w:fill="FFFFFF"/>
          <w:vertAlign w:val="superscript"/>
          <w:lang w:val="en-AU"/>
        </w:rPr>
        <w:t>5</w:t>
      </w:r>
      <w:r w:rsidRPr="00D721B7">
        <w:rPr>
          <w:rFonts w:ascii="Times New Roman" w:hAnsi="Times New Roman" w:cs="Times New Roman"/>
          <w:color w:val="000000"/>
          <w:sz w:val="20"/>
          <w:szCs w:val="24"/>
          <w:lang w:val="en-AU"/>
        </w:rPr>
        <w:t xml:space="preserve"> </w:t>
      </w:r>
      <w:r w:rsidRPr="00D721B7">
        <w:rPr>
          <w:rFonts w:ascii="Times New Roman" w:hAnsi="Times New Roman" w:cs="Times New Roman"/>
          <w:color w:val="000000"/>
          <w:sz w:val="20"/>
          <w:szCs w:val="24"/>
        </w:rPr>
        <w:t xml:space="preserve">- 1.5 x </w:t>
      </w:r>
      <w:r w:rsidRPr="00D721B7">
        <w:rPr>
          <w:rFonts w:ascii="Times New Roman" w:hAnsi="Times New Roman" w:cs="Times New Roman"/>
          <w:color w:val="000000"/>
          <w:sz w:val="20"/>
          <w:szCs w:val="24"/>
          <w:shd w:val="clear" w:color="auto" w:fill="FFFFFF"/>
          <w:lang w:val="en-AU"/>
        </w:rPr>
        <w:t>10</w:t>
      </w:r>
      <w:r w:rsidRPr="00D721B7">
        <w:rPr>
          <w:rFonts w:ascii="Times New Roman" w:hAnsi="Times New Roman" w:cs="Times New Roman"/>
          <w:color w:val="000000"/>
          <w:sz w:val="20"/>
          <w:szCs w:val="24"/>
          <w:shd w:val="clear" w:color="auto" w:fill="FFFFFF"/>
          <w:vertAlign w:val="superscript"/>
          <w:lang w:val="en-AU"/>
        </w:rPr>
        <w:t>6</w:t>
      </w:r>
      <w:r w:rsidRPr="00D721B7">
        <w:rPr>
          <w:rFonts w:ascii="Times New Roman" w:hAnsi="Times New Roman" w:cs="Times New Roman"/>
          <w:color w:val="000000"/>
          <w:sz w:val="20"/>
          <w:szCs w:val="24"/>
        </w:rPr>
        <w:t xml:space="preserve"> plt /</w:t>
      </w:r>
      <w:r w:rsidRPr="00D721B7">
        <w:rPr>
          <w:rFonts w:ascii="Times New Roman" w:hAnsi="Times New Roman" w:cs="Times New Roman"/>
          <w:color w:val="000000"/>
          <w:sz w:val="20"/>
          <w:szCs w:val="24"/>
        </w:rPr>
        <w:sym w:font="Symbol" w:char="F06D"/>
      </w:r>
      <w:r w:rsidRPr="00D721B7">
        <w:rPr>
          <w:rFonts w:ascii="Times New Roman" w:hAnsi="Times New Roman" w:cs="Times New Roman"/>
          <w:color w:val="000000"/>
          <w:sz w:val="20"/>
          <w:szCs w:val="24"/>
        </w:rPr>
        <w:t xml:space="preserve">l with inconsistent leukocyte </w:t>
      </w:r>
      <w:r w:rsidR="00CE055F" w:rsidRPr="00D721B7">
        <w:rPr>
          <w:rFonts w:ascii="Times New Roman" w:hAnsi="Times New Roman" w:cs="Times New Roman"/>
          <w:color w:val="000000"/>
          <w:sz w:val="20"/>
          <w:szCs w:val="24"/>
        </w:rPr>
        <w:t>concentrations and</w:t>
      </w:r>
      <w:r w:rsidRPr="00D721B7">
        <w:rPr>
          <w:rFonts w:ascii="Times New Roman" w:hAnsi="Times New Roman" w:cs="Times New Roman"/>
          <w:color w:val="000000"/>
          <w:sz w:val="20"/>
          <w:szCs w:val="24"/>
        </w:rPr>
        <w:t xml:space="preserve"> plasma volumes. In clinical practice, such variances prevent precise dosing and may well affect the PRP </w:t>
      </w:r>
      <w:r w:rsidR="00CE055F" w:rsidRPr="00D721B7">
        <w:rPr>
          <w:rFonts w:ascii="Times New Roman" w:hAnsi="Times New Roman" w:cs="Times New Roman"/>
          <w:color w:val="000000"/>
          <w:sz w:val="20"/>
          <w:szCs w:val="24"/>
        </w:rPr>
        <w:t>quality, and</w:t>
      </w:r>
      <w:r w:rsidRPr="00D721B7">
        <w:rPr>
          <w:rFonts w:ascii="Times New Roman" w:hAnsi="Times New Roman" w:cs="Times New Roman"/>
          <w:color w:val="000000"/>
          <w:sz w:val="20"/>
          <w:szCs w:val="24"/>
        </w:rPr>
        <w:t xml:space="preserve"> incidentally damage the platelets, limiting their capacity to release GFs and thus, reducing their regenerative effects. To assess clinical </w:t>
      </w:r>
      <w:r w:rsidR="00CE055F" w:rsidRPr="00D721B7">
        <w:rPr>
          <w:rFonts w:ascii="Times New Roman" w:hAnsi="Times New Roman" w:cs="Times New Roman"/>
          <w:color w:val="000000"/>
          <w:sz w:val="20"/>
          <w:szCs w:val="24"/>
        </w:rPr>
        <w:t>efficacy,</w:t>
      </w:r>
      <w:r w:rsidRPr="00D721B7">
        <w:rPr>
          <w:rFonts w:ascii="Times New Roman" w:hAnsi="Times New Roman" w:cs="Times New Roman"/>
          <w:color w:val="000000"/>
          <w:sz w:val="20"/>
          <w:szCs w:val="24"/>
        </w:rPr>
        <w:t xml:space="preserve"> it is essential that researchers record and translate data accurately for the clinician to distinguish between PRP formulation variances. Hence, representing a substantial gap </w:t>
      </w:r>
      <w:r w:rsidR="00CE055F" w:rsidRPr="00D721B7">
        <w:rPr>
          <w:rFonts w:ascii="Times New Roman" w:hAnsi="Times New Roman" w:cs="Times New Roman"/>
          <w:color w:val="000000"/>
          <w:sz w:val="20"/>
          <w:szCs w:val="24"/>
        </w:rPr>
        <w:t>in PRP</w:t>
      </w:r>
      <w:r w:rsidRPr="00D721B7">
        <w:rPr>
          <w:rFonts w:ascii="Times New Roman" w:hAnsi="Times New Roman" w:cs="Times New Roman"/>
          <w:color w:val="000000"/>
          <w:sz w:val="20"/>
          <w:szCs w:val="24"/>
        </w:rPr>
        <w:t xml:space="preserve"> research. Magalon et al. (2014), for example, advised that the platelet concentration is directly linked to the PRP volume and neither should be interpreted alone. Soon after, Magalon et al. (2016) proposed the </w:t>
      </w:r>
      <w:r w:rsidR="00CE055F" w:rsidRPr="00D721B7">
        <w:rPr>
          <w:rFonts w:ascii="Times New Roman" w:hAnsi="Times New Roman" w:cs="Times New Roman"/>
          <w:color w:val="000000"/>
          <w:sz w:val="20"/>
          <w:szCs w:val="24"/>
        </w:rPr>
        <w:t>DEPA; DeLong</w:t>
      </w:r>
      <w:r w:rsidRPr="00D721B7">
        <w:rPr>
          <w:rFonts w:ascii="Times New Roman" w:hAnsi="Times New Roman" w:cs="Times New Roman"/>
          <w:color w:val="000000"/>
          <w:sz w:val="20"/>
          <w:szCs w:val="24"/>
        </w:rPr>
        <w:t xml:space="preserve"> et al. (2012) developed the PAW classification: </w:t>
      </w:r>
      <w:r w:rsidRPr="00D721B7">
        <w:rPr>
          <w:rFonts w:ascii="Times New Roman" w:hAnsi="Times New Roman" w:cs="Times New Roman"/>
          <w:b/>
          <w:color w:val="000000"/>
          <w:sz w:val="20"/>
          <w:szCs w:val="24"/>
        </w:rPr>
        <w:t>p</w:t>
      </w:r>
      <w:r w:rsidRPr="00D721B7">
        <w:rPr>
          <w:rFonts w:ascii="Times New Roman" w:hAnsi="Times New Roman" w:cs="Times New Roman"/>
          <w:color w:val="000000"/>
          <w:sz w:val="20"/>
          <w:szCs w:val="24"/>
        </w:rPr>
        <w:t xml:space="preserve">latelet number; the manner of platelet </w:t>
      </w:r>
      <w:r w:rsidRPr="00D721B7">
        <w:rPr>
          <w:rFonts w:ascii="Times New Roman" w:hAnsi="Times New Roman" w:cs="Times New Roman"/>
          <w:b/>
          <w:color w:val="000000"/>
          <w:sz w:val="20"/>
          <w:szCs w:val="24"/>
        </w:rPr>
        <w:t>a</w:t>
      </w:r>
      <w:r w:rsidRPr="00D721B7">
        <w:rPr>
          <w:rFonts w:ascii="Times New Roman" w:hAnsi="Times New Roman" w:cs="Times New Roman"/>
          <w:color w:val="000000"/>
          <w:sz w:val="20"/>
          <w:szCs w:val="24"/>
        </w:rPr>
        <w:t xml:space="preserve">ctivation and the presence of </w:t>
      </w:r>
      <w:r w:rsidRPr="00D721B7">
        <w:rPr>
          <w:rFonts w:ascii="Times New Roman" w:hAnsi="Times New Roman" w:cs="Times New Roman"/>
          <w:b/>
          <w:color w:val="000000"/>
          <w:sz w:val="20"/>
          <w:szCs w:val="24"/>
        </w:rPr>
        <w:t>w</w:t>
      </w:r>
      <w:r w:rsidRPr="00D721B7">
        <w:rPr>
          <w:rFonts w:ascii="Times New Roman" w:hAnsi="Times New Roman" w:cs="Times New Roman"/>
          <w:color w:val="000000"/>
          <w:sz w:val="20"/>
          <w:szCs w:val="24"/>
        </w:rPr>
        <w:t>hite blood cells and Duarte et al. (2017</w:t>
      </w:r>
      <w:r w:rsidR="00CE055F" w:rsidRPr="00D721B7">
        <w:rPr>
          <w:rFonts w:ascii="Times New Roman" w:hAnsi="Times New Roman" w:cs="Times New Roman"/>
          <w:color w:val="000000"/>
          <w:sz w:val="20"/>
          <w:szCs w:val="24"/>
        </w:rPr>
        <w:t>) developed</w:t>
      </w:r>
      <w:r w:rsidRPr="00D721B7">
        <w:rPr>
          <w:rFonts w:ascii="Times New Roman" w:hAnsi="Times New Roman" w:cs="Times New Roman"/>
          <w:color w:val="000000"/>
          <w:sz w:val="20"/>
          <w:szCs w:val="24"/>
        </w:rPr>
        <w:t xml:space="preserve"> the schematic MARSPIL. </w:t>
      </w:r>
      <w:r w:rsidRPr="00D721B7">
        <w:rPr>
          <w:rFonts w:ascii="Times New Roman" w:hAnsi="Times New Roman" w:cs="Times New Roman"/>
          <w:sz w:val="20"/>
          <w:szCs w:val="24"/>
        </w:rPr>
        <w:t xml:space="preserve">Recent Systematic Reviews concluded supportively for PRP therapy, however they likewise expressed their uncertainties, for the missing data limited their evaluations. Systematic Reviews too have injudiciously presumed the broad view approach in categorising all PRPs as analogous and excluded their clear differences. This lack of standardisation permits the term “PRP” to be marketed equivocally, irrespective of the concentrations, volumes and quality of the product.  Coupled with a lack of comprehensive data records, this renders the studies difficult for interpretation and represents a considerable gap in the research. </w:t>
      </w:r>
      <w:r w:rsidRPr="00D721B7">
        <w:rPr>
          <w:rFonts w:ascii="Times New Roman" w:hAnsi="Times New Roman" w:cs="Times New Roman"/>
          <w:sz w:val="20"/>
        </w:rPr>
        <w:t xml:space="preserve">The lack of standardisation allows for PRP distributors to implement emotive nomenclature thus confusing the clinician. This presentation will review studies and promotional material in order to provide knowledge on choosing the most efficacious PRP system for Best Practice. </w:t>
      </w:r>
    </w:p>
    <w:p w:rsidR="00D721B7" w:rsidRDefault="00D721B7">
      <w:pPr>
        <w:pStyle w:val="Heading3"/>
        <w:spacing w:before="147"/>
        <w:jc w:val="both"/>
      </w:pPr>
    </w:p>
    <w:p w:rsidR="00AE3E37" w:rsidRDefault="00A9710C">
      <w:pPr>
        <w:pStyle w:val="Heading3"/>
        <w:spacing w:before="74"/>
        <w:rPr>
          <w:color w:val="BF5A14"/>
        </w:rPr>
      </w:pPr>
      <w:r>
        <w:rPr>
          <w:b w:val="0"/>
        </w:rPr>
        <w:br w:type="column"/>
      </w:r>
      <w:r w:rsidR="00D721B7">
        <w:rPr>
          <w:color w:val="BF5A14"/>
        </w:rPr>
        <w:t xml:space="preserve">Haynesworth et al. (2002) </w:t>
      </w:r>
    </w:p>
    <w:p w:rsidR="00D721B7" w:rsidRDefault="00D721B7">
      <w:pPr>
        <w:pStyle w:val="Heading3"/>
        <w:spacing w:before="74"/>
      </w:pPr>
      <w:r w:rsidRPr="00F63AB1">
        <w:rPr>
          <w:rFonts w:ascii="Times New Roman" w:hAnsi="Times New Roman" w:cs="Times New Roman"/>
          <w:noProof/>
          <w:color w:val="000000"/>
          <w:sz w:val="24"/>
          <w:szCs w:val="24"/>
        </w:rPr>
        <w:drawing>
          <wp:inline distT="0" distB="0" distL="0" distR="0" wp14:anchorId="15DE33A6" wp14:editId="08702E57">
            <wp:extent cx="3165475" cy="1686840"/>
            <wp:effectExtent l="0" t="0" r="0" b="0"/>
            <wp:docPr id="56"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686840"/>
                    </a:xfrm>
                    <a:prstGeom prst="rect">
                      <a:avLst/>
                    </a:prstGeom>
                    <a:noFill/>
                    <a:ln>
                      <a:noFill/>
                    </a:ln>
                  </pic:spPr>
                </pic:pic>
              </a:graphicData>
            </a:graphic>
          </wp:inline>
        </w:drawing>
      </w:r>
    </w:p>
    <w:p w:rsidR="00D721B7" w:rsidRDefault="00D721B7">
      <w:pPr>
        <w:pStyle w:val="Heading3"/>
        <w:spacing w:before="74"/>
      </w:pPr>
    </w:p>
    <w:p w:rsidR="00AE3E37" w:rsidRDefault="00D721B7">
      <w:pPr>
        <w:pStyle w:val="BodyText"/>
        <w:spacing w:before="2"/>
        <w:rPr>
          <w:rFonts w:ascii="Arial"/>
          <w:b/>
          <w:sz w:val="16"/>
        </w:rPr>
      </w:pPr>
      <w:r w:rsidRPr="00F63AB1">
        <w:rPr>
          <w:rFonts w:ascii="Times New Roman" w:hAnsi="Times New Roman" w:cs="Times New Roman"/>
          <w:noProof/>
          <w:color w:val="000000"/>
          <w:sz w:val="24"/>
          <w:szCs w:val="24"/>
        </w:rPr>
        <w:drawing>
          <wp:inline distT="0" distB="0" distL="0" distR="0" wp14:anchorId="4D01D6BE" wp14:editId="5A980E17">
            <wp:extent cx="3165475" cy="605922"/>
            <wp:effectExtent l="0" t="0" r="0" b="0"/>
            <wp:docPr id="55"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605922"/>
                    </a:xfrm>
                    <a:prstGeom prst="rect">
                      <a:avLst/>
                    </a:prstGeom>
                    <a:noFill/>
                    <a:ln>
                      <a:noFill/>
                    </a:ln>
                  </pic:spPr>
                </pic:pic>
              </a:graphicData>
            </a:graphic>
          </wp:inline>
        </w:drawing>
      </w:r>
    </w:p>
    <w:p w:rsidR="00AE3E37" w:rsidRDefault="00AE3E37">
      <w:pPr>
        <w:spacing w:line="200" w:lineRule="exact"/>
        <w:jc w:val="both"/>
        <w:rPr>
          <w:rFonts w:ascii="Calibri" w:hAnsi="Calibri"/>
        </w:rPr>
      </w:pPr>
    </w:p>
    <w:p w:rsidR="00BF4C4F" w:rsidRDefault="00BF4C4F" w:rsidP="00BF4C4F">
      <w:pPr>
        <w:ind w:left="720" w:hanging="720"/>
        <w:rPr>
          <w:rFonts w:ascii="Times New Roman" w:hAnsi="Times New Roman" w:cs="Times New Roman"/>
          <w:color w:val="000000"/>
        </w:rPr>
      </w:pPr>
      <w:r w:rsidRPr="00BF4C4F">
        <w:rPr>
          <w:rFonts w:ascii="Times New Roman" w:hAnsi="Times New Roman" w:cs="Times New Roman"/>
          <w:color w:val="000000"/>
        </w:rPr>
        <w:t>DeLong, M.J., Russell R.P. &amp; Mazzocca, A.D. (2012). Platelet Rich Plasma: The PAW Classification System.</w:t>
      </w:r>
      <w:r w:rsidRPr="00BF4C4F">
        <w:rPr>
          <w:rFonts w:ascii="Times New Roman" w:hAnsi="Times New Roman" w:cs="Times New Roman"/>
          <w:i/>
          <w:color w:val="000000"/>
        </w:rPr>
        <w:t xml:space="preserve"> Arthoscopy: The Journal of Arthoscopic and Related Surgery</w:t>
      </w:r>
      <w:r w:rsidRPr="00BF4C4F">
        <w:rPr>
          <w:rFonts w:ascii="Times New Roman" w:hAnsi="Times New Roman" w:cs="Times New Roman"/>
          <w:color w:val="000000"/>
        </w:rPr>
        <w:t>,  28 (7), pp.  998-1009.</w:t>
      </w:r>
    </w:p>
    <w:p w:rsidR="00BF4C4F" w:rsidRPr="00BF4C4F" w:rsidRDefault="00BF4C4F" w:rsidP="00BF4C4F">
      <w:pPr>
        <w:ind w:left="720" w:hanging="720"/>
        <w:rPr>
          <w:rFonts w:ascii="Times New Roman" w:hAnsi="Times New Roman" w:cs="Times New Roman"/>
          <w:color w:val="000000"/>
        </w:rPr>
      </w:pPr>
    </w:p>
    <w:p w:rsidR="00D721B7" w:rsidRPr="00D721B7" w:rsidRDefault="00D721B7" w:rsidP="00D721B7">
      <w:pPr>
        <w:autoSpaceDE w:val="0"/>
        <w:autoSpaceDN w:val="0"/>
        <w:adjustRightInd w:val="0"/>
        <w:spacing w:after="240"/>
        <w:ind w:left="720" w:hanging="720"/>
        <w:rPr>
          <w:rFonts w:ascii="Times New Roman" w:eastAsia="MS Mincho" w:hAnsi="Times New Roman" w:cs="Times New Roman"/>
          <w:iCs/>
          <w:color w:val="000000"/>
          <w:sz w:val="20"/>
        </w:rPr>
      </w:pPr>
      <w:r w:rsidRPr="00D721B7">
        <w:rPr>
          <w:rFonts w:ascii="Times New Roman" w:hAnsi="Times New Roman" w:cs="Times New Roman"/>
          <w:color w:val="000000"/>
          <w:sz w:val="20"/>
        </w:rPr>
        <w:t xml:space="preserve">Dohan Ehrenfest, D.M., Zumstein, M.A., Zhang, C.Q., Pinto, N.R. &amp; Bielecki, T. (2014). Classification of platelet concentrates (Platelet-rich Plasma- PRP, Platelet-rich Fibrin-PRF) for topical and infiltrative use in </w:t>
      </w:r>
      <w:r w:rsidR="00CE055F" w:rsidRPr="00D721B7">
        <w:rPr>
          <w:rFonts w:ascii="Times New Roman" w:hAnsi="Times New Roman" w:cs="Times New Roman"/>
          <w:color w:val="000000"/>
          <w:sz w:val="20"/>
        </w:rPr>
        <w:t>orthopaedics</w:t>
      </w:r>
      <w:r w:rsidRPr="00D721B7">
        <w:rPr>
          <w:rFonts w:ascii="Times New Roman" w:hAnsi="Times New Roman" w:cs="Times New Roman"/>
          <w:color w:val="000000"/>
          <w:sz w:val="20"/>
        </w:rPr>
        <w:t xml:space="preserve"> and sports medicine: current consensus, clinical implication and perspectives. </w:t>
      </w:r>
      <w:r w:rsidRPr="00D721B7">
        <w:rPr>
          <w:rFonts w:ascii="Times New Roman" w:hAnsi="Times New Roman" w:cs="Times New Roman"/>
          <w:i/>
          <w:color w:val="000000"/>
          <w:sz w:val="20"/>
        </w:rPr>
        <w:t>Muscles Ligaments Tendons Journal</w:t>
      </w:r>
      <w:r w:rsidRPr="00D721B7">
        <w:rPr>
          <w:rFonts w:ascii="Times New Roman" w:hAnsi="Times New Roman" w:cs="Times New Roman"/>
          <w:color w:val="000000"/>
          <w:sz w:val="20"/>
        </w:rPr>
        <w:t xml:space="preserve">, 4 (1), pp.3-9. </w:t>
      </w:r>
    </w:p>
    <w:p w:rsidR="00D721B7" w:rsidRPr="00D721B7" w:rsidRDefault="00D721B7" w:rsidP="00D721B7">
      <w:pPr>
        <w:ind w:left="720" w:hanging="720"/>
        <w:rPr>
          <w:rFonts w:ascii="Times New Roman" w:hAnsi="Times New Roman" w:cs="Times New Roman"/>
          <w:color w:val="000000"/>
          <w:sz w:val="20"/>
        </w:rPr>
      </w:pPr>
      <w:r w:rsidRPr="00D721B7">
        <w:rPr>
          <w:rFonts w:ascii="Times New Roman" w:hAnsi="Times New Roman" w:cs="Times New Roman"/>
          <w:color w:val="000000"/>
          <w:sz w:val="20"/>
        </w:rPr>
        <w:t xml:space="preserve">Fitzpatrick, J., Bulsara, M.K., McCrory, P.R., Richardson, M.D. &amp; Zheng, M,H.  (2017) Analysis of Platelet Rich Plasma Extraction. Variations in Platelet and Blood Components Between 4 Common Commercial Kits. </w:t>
      </w:r>
      <w:r w:rsidRPr="00D721B7">
        <w:rPr>
          <w:rFonts w:ascii="Times New Roman" w:hAnsi="Times New Roman" w:cs="Times New Roman"/>
          <w:i/>
          <w:color w:val="000000"/>
          <w:sz w:val="20"/>
        </w:rPr>
        <w:t>The Orthopedic Journal of Sports Medicine</w:t>
      </w:r>
      <w:r w:rsidRPr="00D721B7">
        <w:rPr>
          <w:rFonts w:ascii="Times New Roman" w:hAnsi="Times New Roman" w:cs="Times New Roman"/>
          <w:color w:val="000000"/>
          <w:sz w:val="20"/>
        </w:rPr>
        <w:t>, 5(1). doi: 10.1177/2325967116675272</w:t>
      </w:r>
    </w:p>
    <w:p w:rsidR="00D721B7" w:rsidRPr="00D721B7" w:rsidRDefault="00D721B7">
      <w:pPr>
        <w:spacing w:line="200" w:lineRule="exact"/>
        <w:jc w:val="both"/>
        <w:rPr>
          <w:rFonts w:ascii="Calibri" w:hAnsi="Calibri"/>
          <w:sz w:val="20"/>
        </w:rPr>
      </w:pPr>
    </w:p>
    <w:p w:rsidR="00D721B7" w:rsidRPr="00D721B7" w:rsidRDefault="00D721B7" w:rsidP="00D721B7">
      <w:pPr>
        <w:ind w:left="720" w:hanging="720"/>
        <w:rPr>
          <w:rFonts w:ascii="Times New Roman" w:hAnsi="Times New Roman" w:cs="Times New Roman"/>
          <w:color w:val="000000"/>
          <w:sz w:val="20"/>
        </w:rPr>
      </w:pPr>
      <w:r w:rsidRPr="00D721B7">
        <w:rPr>
          <w:rFonts w:ascii="Times New Roman" w:hAnsi="Times New Roman" w:cs="Times New Roman"/>
          <w:color w:val="000000"/>
          <w:sz w:val="20"/>
        </w:rPr>
        <w:t xml:space="preserve">Haynesworth, S., Kadiyala, S.  &amp; Bruder, S.P. (2002). Platelet Rich Plasma stimulates stem cell chemotaxis, proliferation and potentiates osteogenic differentiation. </w:t>
      </w:r>
      <w:r w:rsidRPr="00D721B7">
        <w:rPr>
          <w:rFonts w:ascii="Times New Roman" w:hAnsi="Times New Roman" w:cs="Times New Roman"/>
          <w:i/>
          <w:color w:val="000000"/>
          <w:sz w:val="20"/>
        </w:rPr>
        <w:t xml:space="preserve">The Spine Journal, </w:t>
      </w:r>
      <w:r w:rsidRPr="00D721B7">
        <w:rPr>
          <w:rFonts w:ascii="Times New Roman" w:hAnsi="Times New Roman" w:cs="Times New Roman"/>
          <w:color w:val="000000"/>
          <w:sz w:val="20"/>
        </w:rPr>
        <w:t>2 (5), p.68.</w:t>
      </w:r>
    </w:p>
    <w:p w:rsidR="00D721B7" w:rsidRPr="00D721B7" w:rsidRDefault="00D721B7">
      <w:pPr>
        <w:spacing w:line="200" w:lineRule="exact"/>
        <w:jc w:val="both"/>
        <w:rPr>
          <w:rFonts w:ascii="Calibri" w:hAnsi="Calibri"/>
          <w:sz w:val="20"/>
        </w:rPr>
      </w:pPr>
    </w:p>
    <w:p w:rsidR="00D721B7" w:rsidRPr="00D721B7" w:rsidRDefault="00D721B7" w:rsidP="00D721B7">
      <w:pPr>
        <w:ind w:left="720" w:hanging="720"/>
        <w:rPr>
          <w:rFonts w:ascii="Times New Roman" w:hAnsi="Times New Roman" w:cs="Times New Roman"/>
          <w:color w:val="000000"/>
          <w:sz w:val="20"/>
        </w:rPr>
      </w:pPr>
      <w:r w:rsidRPr="00D721B7">
        <w:rPr>
          <w:rFonts w:ascii="Times New Roman" w:hAnsi="Times New Roman" w:cs="Times New Roman"/>
          <w:color w:val="000000"/>
          <w:sz w:val="20"/>
        </w:rPr>
        <w:t>Magalon, J., Chateau, A.L., Bertranr,B., Louis, M.L., Silvestre, A., Giraudo, L. &amp; Sabatier, F.  (2016). DEPA classification: a proposal for standardising PRP use and a retrospective application of available devices</w:t>
      </w:r>
      <w:r w:rsidRPr="00D721B7">
        <w:rPr>
          <w:rFonts w:ascii="Times New Roman" w:hAnsi="Times New Roman" w:cs="Times New Roman"/>
          <w:i/>
          <w:color w:val="000000"/>
          <w:sz w:val="20"/>
        </w:rPr>
        <w:t>.</w:t>
      </w:r>
      <w:r w:rsidRPr="00D721B7">
        <w:rPr>
          <w:rFonts w:ascii="Times New Roman" w:hAnsi="Times New Roman" w:cs="Times New Roman"/>
          <w:color w:val="000000"/>
          <w:sz w:val="20"/>
        </w:rPr>
        <w:t xml:space="preserve">  </w:t>
      </w:r>
      <w:r w:rsidRPr="00D721B7">
        <w:rPr>
          <w:rFonts w:ascii="Times New Roman" w:hAnsi="Times New Roman" w:cs="Times New Roman"/>
          <w:i/>
          <w:color w:val="000000"/>
          <w:sz w:val="20"/>
        </w:rPr>
        <w:t>BMJ Open Sport Exercise Medicine,</w:t>
      </w:r>
      <w:r w:rsidRPr="00D721B7">
        <w:rPr>
          <w:rFonts w:ascii="Times New Roman" w:hAnsi="Times New Roman" w:cs="Times New Roman"/>
          <w:color w:val="000000"/>
          <w:sz w:val="20"/>
        </w:rPr>
        <w:t xml:space="preserve"> 2(1). doi:10.1136/brnjsem-2015-000060</w:t>
      </w:r>
    </w:p>
    <w:p w:rsidR="00D721B7" w:rsidRDefault="00D721B7">
      <w:pPr>
        <w:spacing w:line="200" w:lineRule="exact"/>
        <w:jc w:val="both"/>
        <w:rPr>
          <w:rFonts w:ascii="Calibri" w:hAnsi="Calibri"/>
        </w:rPr>
      </w:pPr>
    </w:p>
    <w:p w:rsidR="00CE055F" w:rsidRDefault="00CE055F">
      <w:pPr>
        <w:spacing w:line="200" w:lineRule="exact"/>
        <w:jc w:val="both"/>
        <w:rPr>
          <w:rFonts w:ascii="Calibri" w:hAnsi="Calibri"/>
        </w:rPr>
      </w:pPr>
    </w:p>
    <w:p w:rsidR="00CE055F" w:rsidRDefault="00CE055F" w:rsidP="00CE055F">
      <w:pPr>
        <w:spacing w:line="200" w:lineRule="exact"/>
        <w:jc w:val="center"/>
        <w:rPr>
          <w:rFonts w:ascii="Calibri" w:hAnsi="Calibri"/>
        </w:rPr>
      </w:pPr>
    </w:p>
    <w:p w:rsidR="00CE055F" w:rsidRDefault="00CE055F" w:rsidP="00CE055F">
      <w:pPr>
        <w:spacing w:line="200" w:lineRule="exact"/>
        <w:jc w:val="center"/>
        <w:rPr>
          <w:rFonts w:ascii="Calibri" w:hAnsi="Calibri"/>
        </w:rPr>
        <w:sectPr w:rsidR="00CE055F">
          <w:type w:val="continuous"/>
          <w:pgSz w:w="11910" w:h="16840"/>
          <w:pgMar w:top="1740" w:right="600" w:bottom="840" w:left="620" w:header="720" w:footer="720" w:gutter="0"/>
          <w:cols w:num="2" w:space="720" w:equalWidth="0">
            <w:col w:w="5214" w:space="138"/>
            <w:col w:w="5338"/>
          </w:cols>
        </w:sectPr>
      </w:pPr>
    </w:p>
    <w:p w:rsidR="00AE3E37" w:rsidRDefault="00AE3E37" w:rsidP="00CE055F">
      <w:pPr>
        <w:pStyle w:val="BodyText"/>
        <w:spacing w:line="40" w:lineRule="exact"/>
        <w:rPr>
          <w:rFonts w:ascii="Calibri"/>
          <w:sz w:val="4"/>
        </w:rPr>
      </w:pPr>
    </w:p>
    <w:p w:rsidR="00D721B7" w:rsidRPr="00BF4C4F" w:rsidRDefault="00D721B7" w:rsidP="00D721B7">
      <w:pPr>
        <w:rPr>
          <w:rFonts w:ascii="Times New Roman" w:eastAsia="Times New Roman" w:hAnsi="Times New Roman" w:cs="Times New Roman"/>
          <w:sz w:val="24"/>
          <w:szCs w:val="24"/>
          <w:lang w:val="en-AU" w:eastAsia="en-AU"/>
        </w:rPr>
      </w:pPr>
      <w:r>
        <w:rPr>
          <w:rFonts w:ascii="Arial"/>
          <w:noProof/>
          <w:color w:val="BF5A14"/>
        </w:rPr>
        <w:lastRenderedPageBreak/>
        <w:drawing>
          <wp:inline distT="0" distB="0" distL="0" distR="0">
            <wp:extent cx="1232226" cy="111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e pic .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0781" cy="1125359"/>
                    </a:xfrm>
                    <a:prstGeom prst="rect">
                      <a:avLst/>
                    </a:prstGeom>
                  </pic:spPr>
                </pic:pic>
              </a:graphicData>
            </a:graphic>
          </wp:inline>
        </w:drawing>
      </w:r>
      <w:r>
        <w:rPr>
          <w:rFonts w:ascii="Arial"/>
          <w:color w:val="BF5A14"/>
        </w:rPr>
        <w:t xml:space="preserve"> </w:t>
      </w:r>
      <w:r w:rsidR="00404E5B">
        <w:rPr>
          <w:rFonts w:ascii="Arial"/>
          <w:color w:val="BF5A14"/>
        </w:rPr>
        <w:t xml:space="preserve"> </w:t>
      </w:r>
      <w:r w:rsidRPr="00BF4C4F">
        <w:rPr>
          <w:rFonts w:ascii="Times New Roman" w:eastAsia="Times New Roman" w:hAnsi="Times New Roman" w:cs="Times New Roman"/>
          <w:sz w:val="24"/>
          <w:szCs w:val="24"/>
          <w:shd w:val="clear" w:color="auto" w:fill="FFFFFF"/>
          <w:lang w:val="en-AU" w:eastAsia="en-AU"/>
        </w:rPr>
        <w:t>Jeannie Devereaux has 25 years exp</w:t>
      </w:r>
      <w:bookmarkStart w:id="0" w:name="_GoBack"/>
      <w:bookmarkEnd w:id="0"/>
      <w:r w:rsidRPr="00BF4C4F">
        <w:rPr>
          <w:rFonts w:ascii="Times New Roman" w:eastAsia="Times New Roman" w:hAnsi="Times New Roman" w:cs="Times New Roman"/>
          <w:sz w:val="24"/>
          <w:szCs w:val="24"/>
          <w:shd w:val="clear" w:color="auto" w:fill="FFFFFF"/>
          <w:lang w:val="en-AU" w:eastAsia="en-AU"/>
        </w:rPr>
        <w:t>erience in corporate entities with a high proficiency in regenerative medicine and dermal science. Jeannie has pioneered the use of PRP Cell Biology in Australia, introducing Cell Biology Therapy to be the most exciting era in medicine since the introduction of penicillin. Jeannie has developed dermal regeneration therapies that have changed the course of dermatology, reconstructive surgery and aesthetic medicine utilising a variety of cellular therapies including platelets, monocytes, bone marrow cells and adipose cells. Jeannie's career has been actively engaged in the professions of Dermatology, Plastic and Reconstructive Surgery, Bio Cellular Sciences, Regenerative Medicine, Orthopaedic Sciences during which time she obtained significant knowledge and expertise across a multiple of medical disciplines. </w:t>
      </w:r>
      <w:r w:rsidRPr="00BF4C4F">
        <w:rPr>
          <w:rFonts w:ascii="Times New Roman" w:eastAsia="Times New Roman" w:hAnsi="Times New Roman" w:cs="Times New Roman"/>
          <w:sz w:val="24"/>
          <w:szCs w:val="24"/>
          <w:lang w:val="en-AU" w:eastAsia="en-AU"/>
        </w:rPr>
        <w:br/>
      </w:r>
    </w:p>
    <w:p w:rsidR="00AE3E37" w:rsidRDefault="00AE3E37" w:rsidP="00404E5B">
      <w:pPr>
        <w:spacing w:before="92"/>
        <w:ind w:right="4234"/>
        <w:rPr>
          <w:rFonts w:ascii="Arial"/>
        </w:rPr>
      </w:pPr>
    </w:p>
    <w:p w:rsidR="00AE3E37" w:rsidRPr="00CE055F" w:rsidRDefault="00A9710C" w:rsidP="00CE055F">
      <w:pPr>
        <w:spacing w:before="62"/>
        <w:ind w:right="4235"/>
        <w:jc w:val="both"/>
        <w:rPr>
          <w:rFonts w:ascii="Arial"/>
          <w:sz w:val="24"/>
        </w:rPr>
      </w:pPr>
      <w:r w:rsidRPr="00CE055F">
        <w:rPr>
          <w:rFonts w:ascii="Arial"/>
          <w:sz w:val="24"/>
        </w:rPr>
        <w:t>Email:</w:t>
      </w:r>
      <w:r w:rsidR="00D721B7" w:rsidRPr="00CE055F">
        <w:rPr>
          <w:rFonts w:ascii="Arial"/>
          <w:color w:val="004080"/>
          <w:sz w:val="24"/>
        </w:rPr>
        <w:t>jeanniedvrx</w:t>
      </w:r>
      <w:r w:rsidR="00CE055F">
        <w:rPr>
          <w:rFonts w:ascii="Arial"/>
          <w:color w:val="004080"/>
          <w:sz w:val="24"/>
        </w:rPr>
        <w:t>@</w:t>
      </w:r>
      <w:r w:rsidR="00D721B7" w:rsidRPr="00CE055F">
        <w:rPr>
          <w:rFonts w:ascii="Arial"/>
          <w:color w:val="004080"/>
          <w:sz w:val="24"/>
        </w:rPr>
        <w:t>gmail.com</w:t>
      </w:r>
    </w:p>
    <w:p w:rsidR="00AE3E37" w:rsidRPr="00CE055F" w:rsidRDefault="00D721B7" w:rsidP="00CE055F">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0" t="0" r="0" b="0"/>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53A2E" id="Line 2"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" strokecolor="#004080" strokeweight=".5pt">
                <o:lock v:ext="edit" shapetype="f"/>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D721B7" w:rsidRDefault="00D721B7" w:rsidP="00D721B7">
      <w:pPr>
        <w:spacing w:line="204" w:lineRule="exact"/>
        <w:rPr>
          <w:rFonts w:ascii="Calibri" w:hAnsi="Calibri"/>
        </w:rPr>
      </w:pPr>
    </w:p>
    <w:p w:rsidR="00AE3E37" w:rsidRDefault="00AE3E37">
      <w:pPr>
        <w:pStyle w:val="BodyText"/>
        <w:spacing w:before="85" w:line="216" w:lineRule="exact"/>
        <w:ind w:left="383" w:right="138" w:hanging="284"/>
        <w:jc w:val="both"/>
        <w:rPr>
          <w:rFonts w:ascii="Calibri" w:hAnsi="Calibri"/>
        </w:rPr>
      </w:pPr>
    </w:p>
    <w:sectPr w:rsidR="00AE3E37" w:rsidSect="00CE055F">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004F" w:rsidRDefault="0019004F">
      <w:r>
        <w:separator/>
      </w:r>
    </w:p>
  </w:endnote>
  <w:endnote w:type="continuationSeparator" w:id="0">
    <w:p w:rsidR="0019004F" w:rsidRDefault="00190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D721B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" filled="f" stroked="f">
              <v:path arrowok="t"/>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" filled="f" stroked="f">
              <v:path arrowok="t"/>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" filled="f" stroked="f">
              <v:path arrowok="t"/>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004F" w:rsidRDefault="0019004F">
      <w:r>
        <w:separator/>
      </w:r>
    </w:p>
  </w:footnote>
  <w:footnote w:type="continuationSeparator" w:id="0">
    <w:p w:rsidR="0019004F" w:rsidRDefault="00190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D721B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" filled="f" stroked="f">
              <v:path arrowok="t"/>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" filled="f" stroked="f">
              <v:path arrowok="t"/>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9004F"/>
    <w:rsid w:val="003A72B4"/>
    <w:rsid w:val="00404E5B"/>
    <w:rsid w:val="00414F7B"/>
    <w:rsid w:val="004355DC"/>
    <w:rsid w:val="004749B4"/>
    <w:rsid w:val="004F3523"/>
    <w:rsid w:val="005B3A56"/>
    <w:rsid w:val="006060CE"/>
    <w:rsid w:val="0063497F"/>
    <w:rsid w:val="00873DF0"/>
    <w:rsid w:val="009A1402"/>
    <w:rsid w:val="009B2D44"/>
    <w:rsid w:val="00A95549"/>
    <w:rsid w:val="00A9710C"/>
    <w:rsid w:val="00AE3E37"/>
    <w:rsid w:val="00B21A57"/>
    <w:rsid w:val="00BF4C4F"/>
    <w:rsid w:val="00C33602"/>
    <w:rsid w:val="00CD6F55"/>
    <w:rsid w:val="00CE055F"/>
    <w:rsid w:val="00D721B7"/>
    <w:rsid w:val="00F0325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332B4"/>
  <w15:docId w15:val="{C7EA1E77-F1AE-DC48-84BE-EF764FBB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D721B7"/>
    <w:rPr>
      <w:color w:val="0000FF" w:themeColor="hyperlink"/>
      <w:u w:val="single"/>
    </w:rPr>
  </w:style>
  <w:style w:type="character" w:styleId="UnresolvedMention">
    <w:name w:val="Unresolved Mention"/>
    <w:basedOn w:val="DefaultParagraphFont"/>
    <w:uiPriority w:val="99"/>
    <w:semiHidden/>
    <w:unhideWhenUsed/>
    <w:rsid w:val="00D721B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9607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JEANNIE DEVEREAUX</cp:lastModifiedBy>
  <cp:revision>4</cp:revision>
  <dcterms:created xsi:type="dcterms:W3CDTF">2018-04-20T03:33:00Z</dcterms:created>
  <dcterms:modified xsi:type="dcterms:W3CDTF">2018-04-20T03:34:00Z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