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885" w:rsidRDefault="00790348">
      <w:pPr>
        <w:pStyle w:val="Titolo1"/>
        <w:spacing w:before="170"/>
        <w:ind w:left="0"/>
        <w:rPr>
          <w:color w:val="337AB7"/>
        </w:rPr>
      </w:pPr>
      <w:r>
        <w:rPr>
          <w:color w:val="337AB7"/>
        </w:rPr>
        <w:t xml:space="preserve">Climate change assessment, monitoring and adaptation at trans-boundary level: the EU </w:t>
      </w:r>
      <w:proofErr w:type="spellStart"/>
      <w:r>
        <w:rPr>
          <w:color w:val="337AB7"/>
        </w:rPr>
        <w:t>Interreg</w:t>
      </w:r>
      <w:proofErr w:type="spellEnd"/>
      <w:r>
        <w:rPr>
          <w:color w:val="337AB7"/>
        </w:rPr>
        <w:t xml:space="preserve"> CHANGE WE CARE project.</w:t>
      </w:r>
    </w:p>
    <w:p w:rsidR="004B5885" w:rsidRDefault="000D4E6D">
      <w:pPr>
        <w:pBdr>
          <w:top w:val="nil"/>
          <w:left w:val="nil"/>
          <w:bottom w:val="nil"/>
          <w:right w:val="nil"/>
          <w:between w:val="nil"/>
        </w:pBdr>
        <w:spacing w:before="73" w:line="198" w:lineRule="auto"/>
        <w:ind w:right="567"/>
        <w:rPr>
          <w:rFonts w:ascii="Arial" w:eastAsia="Arial" w:hAnsi="Arial" w:cs="Arial"/>
          <w:color w:val="000000"/>
          <w:sz w:val="18"/>
          <w:szCs w:val="18"/>
        </w:rPr>
      </w:pPr>
      <w:bookmarkStart w:id="0" w:name="_gjdgxs" w:colFirst="0" w:colLast="0"/>
      <w:bookmarkEnd w:id="0"/>
      <w:r>
        <w:rPr>
          <w:rFonts w:ascii="Arial" w:eastAsia="Arial" w:hAnsi="Arial" w:cs="Arial"/>
          <w:color w:val="000000"/>
          <w:sz w:val="18"/>
          <w:szCs w:val="18"/>
        </w:rPr>
        <w:t xml:space="preserve">Luisa Nicoletti (4), Sara Dastoli (4), </w:t>
      </w:r>
      <w:r w:rsidR="00790348">
        <w:rPr>
          <w:rFonts w:ascii="Arial" w:eastAsia="Arial" w:hAnsi="Arial" w:cs="Arial"/>
          <w:color w:val="000000"/>
          <w:sz w:val="18"/>
          <w:szCs w:val="18"/>
        </w:rPr>
        <w:t>Davide Bonaldo(1) and the CHANGE WE CARE Team(2-11)</w:t>
      </w:r>
    </w:p>
    <w:p w:rsidR="004B5885" w:rsidRDefault="00790348">
      <w:pPr>
        <w:pBdr>
          <w:top w:val="nil"/>
          <w:left w:val="nil"/>
          <w:bottom w:val="nil"/>
          <w:right w:val="nil"/>
          <w:between w:val="nil"/>
        </w:pBdr>
        <w:spacing w:before="73" w:line="198" w:lineRule="auto"/>
        <w:ind w:right="567"/>
        <w:rPr>
          <w:rFonts w:ascii="Arial" w:eastAsia="Arial" w:hAnsi="Arial" w:cs="Arial"/>
          <w:color w:val="000000"/>
          <w:sz w:val="18"/>
          <w:szCs w:val="18"/>
        </w:rPr>
      </w:pPr>
      <w:r>
        <w:rPr>
          <w:rFonts w:ascii="Arial" w:eastAsia="Arial" w:hAnsi="Arial" w:cs="Arial"/>
          <w:color w:val="000000"/>
          <w:sz w:val="18"/>
          <w:szCs w:val="18"/>
        </w:rPr>
        <w:t>(1) National Research Council, Institute of Marine Sciences (CNR-ISMAR), Venice, Italy</w:t>
      </w:r>
      <w:r>
        <w:rPr>
          <w:rFonts w:ascii="Arial" w:eastAsia="Arial" w:hAnsi="Arial" w:cs="Arial"/>
          <w:color w:val="000000"/>
          <w:sz w:val="18"/>
          <w:szCs w:val="18"/>
        </w:rPr>
        <w:t>, (2) Emilia-Romagna Region, Bologna, Italy, (3) Managing Body for Parks and Biodi</w:t>
      </w:r>
      <w:r>
        <w:rPr>
          <w:rFonts w:ascii="Arial" w:eastAsia="Arial" w:hAnsi="Arial" w:cs="Arial"/>
          <w:color w:val="000000"/>
          <w:sz w:val="18"/>
          <w:szCs w:val="18"/>
        </w:rPr>
        <w:t xml:space="preserve">versity - Po Delta, </w:t>
      </w:r>
      <w:proofErr w:type="spellStart"/>
      <w:r>
        <w:rPr>
          <w:rFonts w:ascii="Arial" w:eastAsia="Arial" w:hAnsi="Arial" w:cs="Arial"/>
          <w:color w:val="000000"/>
          <w:sz w:val="18"/>
          <w:szCs w:val="18"/>
        </w:rPr>
        <w:t>Comacchio</w:t>
      </w:r>
      <w:proofErr w:type="spellEnd"/>
      <w:r>
        <w:rPr>
          <w:rFonts w:ascii="Arial" w:eastAsia="Arial" w:hAnsi="Arial" w:cs="Arial"/>
          <w:color w:val="000000"/>
          <w:sz w:val="18"/>
          <w:szCs w:val="18"/>
        </w:rPr>
        <w:t xml:space="preserve">, Italy, (4) Italian National Institute for Environmental Protection and Research (ISPRA), Rome, Italy, (5) </w:t>
      </w:r>
      <w:proofErr w:type="spellStart"/>
      <w:r>
        <w:rPr>
          <w:rFonts w:ascii="Arial" w:eastAsia="Arial" w:hAnsi="Arial" w:cs="Arial"/>
          <w:color w:val="000000"/>
          <w:sz w:val="18"/>
          <w:szCs w:val="18"/>
        </w:rPr>
        <w:t>Fiuli</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Venezia</w:t>
      </w:r>
      <w:proofErr w:type="spellEnd"/>
      <w:r>
        <w:rPr>
          <w:rFonts w:ascii="Arial" w:eastAsia="Arial" w:hAnsi="Arial" w:cs="Arial"/>
          <w:color w:val="000000"/>
          <w:sz w:val="18"/>
          <w:szCs w:val="18"/>
        </w:rPr>
        <w:t xml:space="preserve"> Giulia Autonomous Region, Trieste, Italy, (6) Veneto Region, Venice, Italy, (7) University of Zagreb, Fac</w:t>
      </w:r>
      <w:r>
        <w:rPr>
          <w:rFonts w:ascii="Arial" w:eastAsia="Arial" w:hAnsi="Arial" w:cs="Arial"/>
          <w:color w:val="000000"/>
          <w:sz w:val="18"/>
          <w:szCs w:val="18"/>
        </w:rPr>
        <w:t>ulty of Geodesy, Zagreb, Croatia, (8) Public Institution for Management of Protected Natural Areas of Dubrovnik-</w:t>
      </w:r>
      <w:proofErr w:type="spellStart"/>
      <w:r>
        <w:rPr>
          <w:rFonts w:ascii="Arial" w:eastAsia="Arial" w:hAnsi="Arial" w:cs="Arial"/>
          <w:color w:val="000000"/>
          <w:sz w:val="18"/>
          <w:szCs w:val="18"/>
        </w:rPr>
        <w:t>Neretva</w:t>
      </w:r>
      <w:proofErr w:type="spellEnd"/>
      <w:r>
        <w:rPr>
          <w:rFonts w:ascii="Arial" w:eastAsia="Arial" w:hAnsi="Arial" w:cs="Arial"/>
          <w:color w:val="000000"/>
          <w:sz w:val="18"/>
          <w:szCs w:val="18"/>
        </w:rPr>
        <w:t xml:space="preserve"> County, Dubrovnik, Croatia, (9) Institute of Oceanography and Fisheries, Split, Croatia, (10) Public Institution for Coordination and De</w:t>
      </w:r>
      <w:r>
        <w:rPr>
          <w:rFonts w:ascii="Arial" w:eastAsia="Arial" w:hAnsi="Arial" w:cs="Arial"/>
          <w:color w:val="000000"/>
          <w:sz w:val="18"/>
          <w:szCs w:val="18"/>
        </w:rPr>
        <w:t xml:space="preserve">velopment of Split-Dalmatia County, Split, Croatia, (11) Public Institution </w:t>
      </w:r>
      <w:proofErr w:type="spellStart"/>
      <w:r>
        <w:rPr>
          <w:rFonts w:ascii="Arial" w:eastAsia="Arial" w:hAnsi="Arial" w:cs="Arial"/>
          <w:color w:val="000000"/>
          <w:sz w:val="18"/>
          <w:szCs w:val="18"/>
        </w:rPr>
        <w:t>Vransko</w:t>
      </w:r>
      <w:proofErr w:type="spellEnd"/>
      <w:r>
        <w:rPr>
          <w:rFonts w:ascii="Arial" w:eastAsia="Arial" w:hAnsi="Arial" w:cs="Arial"/>
          <w:color w:val="000000"/>
          <w:sz w:val="18"/>
          <w:szCs w:val="18"/>
        </w:rPr>
        <w:t xml:space="preserve"> Lake Nature Park, </w:t>
      </w:r>
      <w:proofErr w:type="spellStart"/>
      <w:r>
        <w:rPr>
          <w:rFonts w:ascii="Arial" w:eastAsia="Arial" w:hAnsi="Arial" w:cs="Arial"/>
          <w:color w:val="000000"/>
          <w:sz w:val="18"/>
          <w:szCs w:val="18"/>
        </w:rPr>
        <w:t>Zadar</w:t>
      </w:r>
      <w:proofErr w:type="spellEnd"/>
      <w:r>
        <w:rPr>
          <w:rFonts w:ascii="Arial" w:eastAsia="Arial" w:hAnsi="Arial" w:cs="Arial"/>
          <w:color w:val="000000"/>
          <w:sz w:val="18"/>
          <w:szCs w:val="18"/>
        </w:rPr>
        <w:t>, Croatia.</w:t>
      </w:r>
    </w:p>
    <w:p w:rsidR="004B5885" w:rsidRDefault="004B5885">
      <w:pPr>
        <w:pBdr>
          <w:top w:val="nil"/>
          <w:left w:val="nil"/>
          <w:bottom w:val="nil"/>
          <w:right w:val="nil"/>
          <w:between w:val="nil"/>
        </w:pBdr>
        <w:rPr>
          <w:rFonts w:ascii="Arial" w:eastAsia="Arial" w:hAnsi="Arial" w:cs="Arial"/>
          <w:color w:val="000000"/>
          <w:sz w:val="20"/>
          <w:szCs w:val="20"/>
        </w:rPr>
      </w:pPr>
    </w:p>
    <w:p w:rsidR="004B5885" w:rsidRDefault="004B5885">
      <w:pPr>
        <w:pBdr>
          <w:top w:val="nil"/>
          <w:left w:val="nil"/>
          <w:bottom w:val="nil"/>
          <w:right w:val="nil"/>
          <w:between w:val="nil"/>
        </w:pBdr>
        <w:spacing w:before="3"/>
        <w:rPr>
          <w:rFonts w:ascii="Arial" w:eastAsia="Arial" w:hAnsi="Arial" w:cs="Arial"/>
          <w:color w:val="000000"/>
          <w:sz w:val="21"/>
          <w:szCs w:val="21"/>
        </w:rPr>
      </w:pPr>
    </w:p>
    <w:p w:rsidR="004B5885" w:rsidRDefault="004B5885">
      <w:pPr>
        <w:rPr>
          <w:rFonts w:ascii="Arial" w:eastAsia="Arial" w:hAnsi="Arial" w:cs="Arial"/>
          <w:sz w:val="21"/>
          <w:szCs w:val="21"/>
        </w:rPr>
        <w:sectPr w:rsidR="004B5885">
          <w:headerReference w:type="default" r:id="rId7"/>
          <w:footerReference w:type="default" r:id="rId8"/>
          <w:pgSz w:w="11910" w:h="16840"/>
          <w:pgMar w:top="1740" w:right="600" w:bottom="840" w:left="620" w:header="541" w:footer="642" w:gutter="0"/>
          <w:pgNumType w:start="1"/>
          <w:cols w:space="720"/>
        </w:sectPr>
      </w:pPr>
    </w:p>
    <w:p w:rsidR="004B5885" w:rsidRDefault="00790348">
      <w:pPr>
        <w:pStyle w:val="Titolo3"/>
        <w:spacing w:before="147"/>
        <w:jc w:val="both"/>
      </w:pPr>
      <w:r>
        <w:rPr>
          <w:color w:val="BF5A14"/>
        </w:rPr>
        <w:lastRenderedPageBreak/>
        <w:t>Abstract (300 word limit)</w:t>
      </w:r>
    </w:p>
    <w:p w:rsidR="004B5885" w:rsidRDefault="00790348">
      <w:pPr>
        <w:pBdr>
          <w:top w:val="nil"/>
          <w:left w:val="nil"/>
          <w:bottom w:val="nil"/>
          <w:right w:val="nil"/>
          <w:between w:val="nil"/>
        </w:pBdr>
        <w:spacing w:before="90" w:line="280" w:lineRule="auto"/>
        <w:ind w:left="100"/>
        <w:jc w:val="both"/>
        <w:rPr>
          <w:rFonts w:ascii="Twentieth Century" w:eastAsia="Twentieth Century" w:hAnsi="Twentieth Century" w:cs="Twentieth Century"/>
          <w:color w:val="000000"/>
          <w:sz w:val="18"/>
          <w:szCs w:val="18"/>
        </w:rPr>
      </w:pPr>
      <w:r>
        <w:rPr>
          <w:rFonts w:ascii="Twentieth Century" w:eastAsia="Twentieth Century" w:hAnsi="Twentieth Century" w:cs="Twentieth Century"/>
          <w:color w:val="000000"/>
          <w:sz w:val="18"/>
          <w:szCs w:val="18"/>
        </w:rPr>
        <w:t>The development of scientific tools for the characterization of the effects of climate change (CC) on coastal regions has been progressing alongside with the increasing awareness of the extent of such processes. Although this led to a more-than-decadal sci</w:t>
      </w:r>
      <w:r>
        <w:rPr>
          <w:rFonts w:ascii="Twentieth Century" w:eastAsia="Twentieth Century" w:hAnsi="Twentieth Century" w:cs="Twentieth Century"/>
          <w:color w:val="000000"/>
          <w:sz w:val="18"/>
          <w:szCs w:val="18"/>
        </w:rPr>
        <w:t>entific advancement, the integration of the achieved multi-disciplinary knowledge into efficient and sustainable response protocols is still a current challenge, striving to overcome fragmentation both in disciplinary and geographical terms.</w:t>
      </w:r>
    </w:p>
    <w:p w:rsidR="004B5885" w:rsidRDefault="00790348">
      <w:pPr>
        <w:pBdr>
          <w:top w:val="nil"/>
          <w:left w:val="nil"/>
          <w:bottom w:val="nil"/>
          <w:right w:val="nil"/>
          <w:between w:val="nil"/>
        </w:pBdr>
        <w:spacing w:before="90" w:line="280" w:lineRule="auto"/>
        <w:ind w:left="100"/>
        <w:jc w:val="both"/>
        <w:rPr>
          <w:rFonts w:ascii="Twentieth Century" w:eastAsia="Twentieth Century" w:hAnsi="Twentieth Century" w:cs="Twentieth Century"/>
          <w:color w:val="000000"/>
          <w:sz w:val="18"/>
          <w:szCs w:val="18"/>
        </w:rPr>
      </w:pPr>
      <w:r>
        <w:rPr>
          <w:rFonts w:ascii="Twentieth Century" w:eastAsia="Twentieth Century" w:hAnsi="Twentieth Century" w:cs="Twentieth Century"/>
          <w:color w:val="000000"/>
          <w:sz w:val="18"/>
          <w:szCs w:val="18"/>
        </w:rPr>
        <w:t>The Adriatic S</w:t>
      </w:r>
      <w:r>
        <w:rPr>
          <w:rFonts w:ascii="Twentieth Century" w:eastAsia="Twentieth Century" w:hAnsi="Twentieth Century" w:cs="Twentieth Century"/>
          <w:color w:val="000000"/>
          <w:sz w:val="18"/>
          <w:szCs w:val="18"/>
        </w:rPr>
        <w:t>ea (NE Mediterranean basin) presents a heterogeneous variety of coastal and transitional systems prone to different aspects of climate change. They range from low-lying coasts prone to flooding and erosion, to coastal lakes and free-surface aquifers that f</w:t>
      </w:r>
      <w:r>
        <w:rPr>
          <w:rFonts w:ascii="Twentieth Century" w:eastAsia="Twentieth Century" w:hAnsi="Twentieth Century" w:cs="Twentieth Century"/>
          <w:color w:val="000000"/>
          <w:sz w:val="18"/>
          <w:szCs w:val="18"/>
        </w:rPr>
        <w:t xml:space="preserve">ace </w:t>
      </w:r>
      <w:proofErr w:type="spellStart"/>
      <w:r>
        <w:rPr>
          <w:rFonts w:ascii="Twentieth Century" w:eastAsia="Twentieth Century" w:hAnsi="Twentieth Century" w:cs="Twentieth Century"/>
          <w:color w:val="000000"/>
          <w:sz w:val="18"/>
          <w:szCs w:val="18"/>
        </w:rPr>
        <w:t>salinization</w:t>
      </w:r>
      <w:proofErr w:type="spellEnd"/>
      <w:r>
        <w:rPr>
          <w:rFonts w:ascii="Twentieth Century" w:eastAsia="Twentieth Century" w:hAnsi="Twentieth Century" w:cs="Twentieth Century"/>
          <w:color w:val="000000"/>
          <w:sz w:val="18"/>
          <w:szCs w:val="18"/>
        </w:rPr>
        <w:t xml:space="preserve"> issues, all involving a broad spectrum of physical, </w:t>
      </w:r>
      <w:proofErr w:type="spellStart"/>
      <w:r>
        <w:rPr>
          <w:rFonts w:ascii="Twentieth Century" w:eastAsia="Twentieth Century" w:hAnsi="Twentieth Century" w:cs="Twentieth Century"/>
          <w:color w:val="000000"/>
          <w:sz w:val="18"/>
          <w:szCs w:val="18"/>
        </w:rPr>
        <w:t>geomorphological</w:t>
      </w:r>
      <w:proofErr w:type="spellEnd"/>
      <w:r>
        <w:rPr>
          <w:rFonts w:ascii="Twentieth Century" w:eastAsia="Twentieth Century" w:hAnsi="Twentieth Century" w:cs="Twentieth Century"/>
          <w:color w:val="000000"/>
          <w:sz w:val="18"/>
          <w:szCs w:val="18"/>
        </w:rPr>
        <w:t xml:space="preserve"> and ecological issues. This makes the Adriatic Sea an ideal site for developing concerted strategies for a multi-disciplinary assessment of the present conditions and exp</w:t>
      </w:r>
      <w:r>
        <w:rPr>
          <w:rFonts w:ascii="Twentieth Century" w:eastAsia="Twentieth Century" w:hAnsi="Twentieth Century" w:cs="Twentieth Century"/>
          <w:color w:val="000000"/>
          <w:sz w:val="18"/>
          <w:szCs w:val="18"/>
        </w:rPr>
        <w:t xml:space="preserve">ected scenarios in climate change scenarios, as well as coordinated adaptations actions, at a </w:t>
      </w:r>
      <w:proofErr w:type="spellStart"/>
      <w:r>
        <w:rPr>
          <w:rFonts w:ascii="Twentieth Century" w:eastAsia="Twentieth Century" w:hAnsi="Twentieth Century" w:cs="Twentieth Century"/>
          <w:color w:val="000000"/>
          <w:sz w:val="18"/>
          <w:szCs w:val="18"/>
        </w:rPr>
        <w:t>transboundary</w:t>
      </w:r>
      <w:proofErr w:type="spellEnd"/>
      <w:r>
        <w:rPr>
          <w:rFonts w:ascii="Twentieth Century" w:eastAsia="Twentieth Century" w:hAnsi="Twentieth Century" w:cs="Twentieth Century"/>
          <w:color w:val="000000"/>
          <w:sz w:val="18"/>
          <w:szCs w:val="18"/>
        </w:rPr>
        <w:t xml:space="preserve"> level. This is the goal of CHANGE WE CARE (Climate </w:t>
      </w:r>
      <w:proofErr w:type="spellStart"/>
      <w:r>
        <w:rPr>
          <w:rFonts w:ascii="Twentieth Century" w:eastAsia="Twentieth Century" w:hAnsi="Twentieth Century" w:cs="Twentieth Century"/>
          <w:color w:val="000000"/>
          <w:sz w:val="18"/>
          <w:szCs w:val="18"/>
        </w:rPr>
        <w:t>cHallenges</w:t>
      </w:r>
      <w:proofErr w:type="spellEnd"/>
      <w:r>
        <w:rPr>
          <w:rFonts w:ascii="Twentieth Century" w:eastAsia="Twentieth Century" w:hAnsi="Twentieth Century" w:cs="Twentieth Century"/>
          <w:color w:val="000000"/>
          <w:sz w:val="18"/>
          <w:szCs w:val="18"/>
        </w:rPr>
        <w:t xml:space="preserve"> on </w:t>
      </w:r>
      <w:proofErr w:type="spellStart"/>
      <w:r>
        <w:rPr>
          <w:rFonts w:ascii="Twentieth Century" w:eastAsia="Twentieth Century" w:hAnsi="Twentieth Century" w:cs="Twentieth Century"/>
          <w:color w:val="000000"/>
          <w:sz w:val="18"/>
          <w:szCs w:val="18"/>
        </w:rPr>
        <w:t>coAstal</w:t>
      </w:r>
      <w:proofErr w:type="spellEnd"/>
      <w:r>
        <w:rPr>
          <w:rFonts w:ascii="Twentieth Century" w:eastAsia="Twentieth Century" w:hAnsi="Twentieth Century" w:cs="Twentieth Century"/>
          <w:color w:val="000000"/>
          <w:sz w:val="18"/>
          <w:szCs w:val="18"/>
        </w:rPr>
        <w:t xml:space="preserve"> and </w:t>
      </w:r>
      <w:proofErr w:type="spellStart"/>
      <w:r>
        <w:rPr>
          <w:rFonts w:ascii="Twentieth Century" w:eastAsia="Twentieth Century" w:hAnsi="Twentieth Century" w:cs="Twentieth Century"/>
          <w:color w:val="000000"/>
          <w:sz w:val="18"/>
          <w:szCs w:val="18"/>
        </w:rPr>
        <w:t>traNsitional</w:t>
      </w:r>
      <w:proofErr w:type="spellEnd"/>
      <w:r>
        <w:rPr>
          <w:rFonts w:ascii="Twentieth Century" w:eastAsia="Twentieth Century" w:hAnsi="Twentieth Century" w:cs="Twentieth Century"/>
          <w:color w:val="000000"/>
          <w:sz w:val="18"/>
          <w:szCs w:val="18"/>
        </w:rPr>
        <w:t xml:space="preserve"> </w:t>
      </w:r>
      <w:proofErr w:type="spellStart"/>
      <w:r>
        <w:rPr>
          <w:rFonts w:ascii="Twentieth Century" w:eastAsia="Twentieth Century" w:hAnsi="Twentieth Century" w:cs="Twentieth Century"/>
          <w:color w:val="000000"/>
          <w:sz w:val="18"/>
          <w:szCs w:val="18"/>
        </w:rPr>
        <w:t>chanGing</w:t>
      </w:r>
      <w:proofErr w:type="spellEnd"/>
      <w:r>
        <w:rPr>
          <w:rFonts w:ascii="Twentieth Century" w:eastAsia="Twentieth Century" w:hAnsi="Twentieth Century" w:cs="Twentieth Century"/>
          <w:color w:val="000000"/>
          <w:sz w:val="18"/>
          <w:szCs w:val="18"/>
        </w:rPr>
        <w:t xml:space="preserve"> </w:t>
      </w:r>
      <w:proofErr w:type="spellStart"/>
      <w:r>
        <w:rPr>
          <w:rFonts w:ascii="Twentieth Century" w:eastAsia="Twentieth Century" w:hAnsi="Twentieth Century" w:cs="Twentieth Century"/>
          <w:color w:val="000000"/>
          <w:sz w:val="18"/>
          <w:szCs w:val="18"/>
        </w:rPr>
        <w:t>arEas</w:t>
      </w:r>
      <w:proofErr w:type="spellEnd"/>
      <w:r>
        <w:rPr>
          <w:rFonts w:ascii="Twentieth Century" w:eastAsia="Twentieth Century" w:hAnsi="Twentieth Century" w:cs="Twentieth Century"/>
          <w:color w:val="000000"/>
          <w:sz w:val="18"/>
          <w:szCs w:val="18"/>
        </w:rPr>
        <w:t xml:space="preserve">: </w:t>
      </w:r>
      <w:proofErr w:type="spellStart"/>
      <w:r>
        <w:rPr>
          <w:rFonts w:ascii="Twentieth Century" w:eastAsia="Twentieth Century" w:hAnsi="Twentieth Century" w:cs="Twentieth Century"/>
          <w:color w:val="000000"/>
          <w:sz w:val="18"/>
          <w:szCs w:val="18"/>
        </w:rPr>
        <w:t>WEaving</w:t>
      </w:r>
      <w:proofErr w:type="spellEnd"/>
      <w:r>
        <w:rPr>
          <w:rFonts w:ascii="Twentieth Century" w:eastAsia="Twentieth Century" w:hAnsi="Twentieth Century" w:cs="Twentieth Century"/>
          <w:color w:val="000000"/>
          <w:sz w:val="18"/>
          <w:szCs w:val="18"/>
        </w:rPr>
        <w:t xml:space="preserve"> a Cross-Adriatic Response), a Proj</w:t>
      </w:r>
      <w:r>
        <w:rPr>
          <w:rFonts w:ascii="Twentieth Century" w:eastAsia="Twentieth Century" w:hAnsi="Twentieth Century" w:cs="Twentieth Century"/>
          <w:color w:val="000000"/>
          <w:sz w:val="18"/>
          <w:szCs w:val="18"/>
        </w:rPr>
        <w:t xml:space="preserve">ect starting in 2019 and funded by the EU </w:t>
      </w:r>
      <w:proofErr w:type="spellStart"/>
      <w:r>
        <w:rPr>
          <w:rFonts w:ascii="Twentieth Century" w:eastAsia="Twentieth Century" w:hAnsi="Twentieth Century" w:cs="Twentieth Century"/>
          <w:color w:val="000000"/>
          <w:sz w:val="18"/>
          <w:szCs w:val="18"/>
        </w:rPr>
        <w:t>Interreg</w:t>
      </w:r>
      <w:proofErr w:type="spellEnd"/>
      <w:r>
        <w:rPr>
          <w:rFonts w:ascii="Twentieth Century" w:eastAsia="Twentieth Century" w:hAnsi="Twentieth Century" w:cs="Twentieth Century"/>
          <w:color w:val="000000"/>
          <w:sz w:val="18"/>
          <w:szCs w:val="18"/>
        </w:rPr>
        <w:t xml:space="preserve"> Italy-Croatia </w:t>
      </w:r>
      <w:proofErr w:type="spellStart"/>
      <w:r>
        <w:rPr>
          <w:rFonts w:ascii="Twentieth Century" w:eastAsia="Twentieth Century" w:hAnsi="Twentieth Century" w:cs="Twentieth Century"/>
          <w:color w:val="000000"/>
          <w:sz w:val="18"/>
          <w:szCs w:val="18"/>
        </w:rPr>
        <w:t>Programme</w:t>
      </w:r>
      <w:proofErr w:type="spellEnd"/>
      <w:r>
        <w:rPr>
          <w:rFonts w:ascii="Twentieth Century" w:eastAsia="Twentieth Century" w:hAnsi="Twentieth Century" w:cs="Twentieth Century"/>
          <w:color w:val="000000"/>
          <w:sz w:val="18"/>
          <w:szCs w:val="18"/>
        </w:rPr>
        <w:t>.</w:t>
      </w:r>
    </w:p>
    <w:p w:rsidR="004B5885" w:rsidRDefault="00790348">
      <w:pPr>
        <w:pBdr>
          <w:top w:val="nil"/>
          <w:left w:val="nil"/>
          <w:bottom w:val="nil"/>
          <w:right w:val="nil"/>
          <w:between w:val="nil"/>
        </w:pBdr>
        <w:spacing w:before="90" w:line="280" w:lineRule="auto"/>
        <w:ind w:left="100"/>
        <w:jc w:val="both"/>
        <w:rPr>
          <w:rFonts w:ascii="Twentieth Century" w:eastAsia="Twentieth Century" w:hAnsi="Twentieth Century" w:cs="Twentieth Century"/>
          <w:color w:val="000000"/>
          <w:sz w:val="18"/>
          <w:szCs w:val="18"/>
        </w:rPr>
      </w:pPr>
      <w:r>
        <w:rPr>
          <w:rFonts w:ascii="Twentieth Century" w:eastAsia="Twentieth Century" w:hAnsi="Twentieth Century" w:cs="Twentieth Century"/>
          <w:color w:val="000000"/>
          <w:sz w:val="18"/>
          <w:szCs w:val="18"/>
        </w:rPr>
        <w:t>The project explores climate risks faced by coastal and transition areas, contributing to a better understanding of the impact of climate variability and change on water regimes, s</w:t>
      </w:r>
      <w:r>
        <w:rPr>
          <w:rFonts w:ascii="Twentieth Century" w:eastAsia="Twentieth Century" w:hAnsi="Twentieth Century" w:cs="Twentieth Century"/>
          <w:color w:val="000000"/>
          <w:sz w:val="18"/>
          <w:szCs w:val="18"/>
        </w:rPr>
        <w:t xml:space="preserve">alt intrusion, biodiversity and agro-ecosystems affecting the cooperation area, up to delivering integrated and shared planning options to decision makers and coastal communities. Focusing on five coastal systems encompassing the variability of possible </w:t>
      </w:r>
      <w:proofErr w:type="spellStart"/>
      <w:r>
        <w:rPr>
          <w:rFonts w:ascii="Twentieth Century" w:eastAsia="Twentieth Century" w:hAnsi="Twentieth Century" w:cs="Twentieth Century"/>
          <w:color w:val="000000"/>
          <w:sz w:val="18"/>
          <w:szCs w:val="18"/>
        </w:rPr>
        <w:t>ge</w:t>
      </w:r>
      <w:r>
        <w:rPr>
          <w:rFonts w:ascii="Twentieth Century" w:eastAsia="Twentieth Century" w:hAnsi="Twentieth Century" w:cs="Twentieth Century"/>
          <w:color w:val="000000"/>
          <w:sz w:val="18"/>
          <w:szCs w:val="18"/>
        </w:rPr>
        <w:t>omorphological</w:t>
      </w:r>
      <w:proofErr w:type="spellEnd"/>
      <w:r>
        <w:rPr>
          <w:rFonts w:ascii="Twentieth Century" w:eastAsia="Twentieth Century" w:hAnsi="Twentieth Century" w:cs="Twentieth Century"/>
          <w:color w:val="000000"/>
          <w:sz w:val="18"/>
          <w:szCs w:val="18"/>
        </w:rPr>
        <w:t xml:space="preserve"> and ecological settings, physical drivers, and threats determining coastal vulnerability in the cooperation area, the project also aims at defining new paradigms for transferring successful methods of analysis, development and implementation</w:t>
      </w:r>
      <w:r>
        <w:rPr>
          <w:rFonts w:ascii="Twentieth Century" w:eastAsia="Twentieth Century" w:hAnsi="Twentieth Century" w:cs="Twentieth Century"/>
          <w:color w:val="000000"/>
          <w:sz w:val="18"/>
          <w:szCs w:val="18"/>
        </w:rPr>
        <w:t xml:space="preserve"> of adaptation measures from the pilot sites to other systems, facing similar problems at the cross-border scale. </w:t>
      </w:r>
    </w:p>
    <w:p w:rsidR="004B5885" w:rsidRDefault="00790348">
      <w:pPr>
        <w:pStyle w:val="Titolo3"/>
        <w:spacing w:before="74"/>
      </w:pPr>
      <w:r>
        <w:br w:type="column"/>
      </w:r>
    </w:p>
    <w:p w:rsidR="004B5885" w:rsidRDefault="00790348">
      <w:pPr>
        <w:spacing w:line="204" w:lineRule="auto"/>
        <w:rPr>
          <w:rFonts w:ascii="Arial" w:eastAsia="Arial" w:hAnsi="Arial" w:cs="Arial"/>
          <w:b/>
          <w:sz w:val="20"/>
          <w:szCs w:val="20"/>
          <w:highlight w:val="yellow"/>
        </w:rPr>
      </w:pPr>
      <w:r>
        <w:rPr>
          <w:rFonts w:ascii="Arial" w:eastAsia="Arial" w:hAnsi="Arial" w:cs="Arial"/>
          <w:b/>
          <w:color w:val="BF5A14"/>
          <w:sz w:val="20"/>
          <w:szCs w:val="20"/>
        </w:rPr>
        <w:br/>
        <w:t>Recent Publications (minimum 5)</w:t>
      </w:r>
    </w:p>
    <w:p w:rsidR="004B5885" w:rsidRDefault="00790348">
      <w:pPr>
        <w:numPr>
          <w:ilvl w:val="0"/>
          <w:numId w:val="1"/>
        </w:numPr>
        <w:pBdr>
          <w:top w:val="nil"/>
          <w:left w:val="nil"/>
          <w:bottom w:val="nil"/>
          <w:right w:val="nil"/>
          <w:between w:val="nil"/>
        </w:pBdr>
        <w:tabs>
          <w:tab w:val="left" w:pos="384"/>
        </w:tabs>
        <w:spacing w:before="90" w:line="216" w:lineRule="auto"/>
        <w:ind w:right="137" w:hanging="283"/>
        <w:jc w:val="both"/>
        <w:rPr>
          <w:color w:val="000000"/>
        </w:rPr>
      </w:pPr>
      <w:proofErr w:type="spellStart"/>
      <w:r>
        <w:rPr>
          <w:rFonts w:ascii="Calibri" w:eastAsia="Calibri" w:hAnsi="Calibri" w:cs="Calibri"/>
          <w:color w:val="000000"/>
          <w:sz w:val="18"/>
          <w:szCs w:val="18"/>
        </w:rPr>
        <w:t>Zucchetta</w:t>
      </w:r>
      <w:proofErr w:type="spellEnd"/>
      <w:r>
        <w:rPr>
          <w:rFonts w:ascii="Calibri" w:eastAsia="Calibri" w:hAnsi="Calibri" w:cs="Calibri"/>
          <w:color w:val="000000"/>
          <w:sz w:val="18"/>
          <w:szCs w:val="18"/>
        </w:rPr>
        <w:t xml:space="preserve"> et al., (2010) Habitat distribution model for European flounder juveniles in the Venice Lagoon, </w:t>
      </w:r>
      <w:hyperlink r:id="rId9">
        <w:r>
          <w:rPr>
            <w:rFonts w:ascii="Calibri" w:eastAsia="Calibri" w:hAnsi="Calibri" w:cs="Calibri"/>
            <w:color w:val="000000"/>
            <w:sz w:val="18"/>
            <w:szCs w:val="18"/>
          </w:rPr>
          <w:t>Journal of Sea Research</w:t>
        </w:r>
      </w:hyperlink>
      <w:r>
        <w:rPr>
          <w:rFonts w:ascii="Calibri" w:eastAsia="Calibri" w:hAnsi="Calibri" w:cs="Calibri"/>
          <w:color w:val="000000"/>
          <w:sz w:val="18"/>
          <w:szCs w:val="18"/>
        </w:rPr>
        <w:t xml:space="preserve"> 64(1):133-144</w:t>
      </w:r>
    </w:p>
    <w:p w:rsidR="004B5885" w:rsidRDefault="00790348">
      <w:pPr>
        <w:numPr>
          <w:ilvl w:val="0"/>
          <w:numId w:val="1"/>
        </w:numPr>
        <w:pBdr>
          <w:top w:val="nil"/>
          <w:left w:val="nil"/>
          <w:bottom w:val="nil"/>
          <w:right w:val="nil"/>
          <w:between w:val="nil"/>
        </w:pBdr>
        <w:tabs>
          <w:tab w:val="left" w:pos="384"/>
        </w:tabs>
        <w:spacing w:before="90" w:line="216" w:lineRule="auto"/>
        <w:ind w:right="137" w:hanging="283"/>
        <w:jc w:val="both"/>
        <w:rPr>
          <w:color w:val="000000"/>
        </w:rPr>
      </w:pPr>
      <w:proofErr w:type="spellStart"/>
      <w:r>
        <w:rPr>
          <w:rFonts w:ascii="Calibri" w:eastAsia="Calibri" w:hAnsi="Calibri" w:cs="Calibri"/>
          <w:color w:val="000000"/>
          <w:sz w:val="18"/>
          <w:szCs w:val="18"/>
        </w:rPr>
        <w:t>Bellafiore</w:t>
      </w:r>
      <w:proofErr w:type="spellEnd"/>
      <w:r>
        <w:rPr>
          <w:rFonts w:ascii="Calibri" w:eastAsia="Calibri" w:hAnsi="Calibri" w:cs="Calibri"/>
          <w:color w:val="000000"/>
          <w:sz w:val="18"/>
          <w:szCs w:val="18"/>
        </w:rPr>
        <w:t xml:space="preserve"> et al., (2014) Climate change and artificial barrier effects on the Venice Lagoon: Inundation dynamics of salt marshes </w:t>
      </w:r>
      <w:r>
        <w:rPr>
          <w:rFonts w:ascii="Calibri" w:eastAsia="Calibri" w:hAnsi="Calibri" w:cs="Calibri"/>
          <w:color w:val="000000"/>
          <w:sz w:val="18"/>
          <w:szCs w:val="18"/>
        </w:rPr>
        <w:t>and implications for halophytes distribution, Ocean &amp; Coastal Management 100: 101-115</w:t>
      </w:r>
    </w:p>
    <w:p w:rsidR="004B5885" w:rsidRPr="000D4E6D" w:rsidRDefault="00790348">
      <w:pPr>
        <w:numPr>
          <w:ilvl w:val="0"/>
          <w:numId w:val="1"/>
        </w:numPr>
        <w:pBdr>
          <w:top w:val="nil"/>
          <w:left w:val="nil"/>
          <w:bottom w:val="nil"/>
          <w:right w:val="nil"/>
          <w:between w:val="nil"/>
        </w:pBdr>
        <w:tabs>
          <w:tab w:val="left" w:pos="384"/>
        </w:tabs>
        <w:spacing w:before="90" w:line="216" w:lineRule="auto"/>
        <w:ind w:right="137" w:hanging="283"/>
        <w:jc w:val="both"/>
        <w:rPr>
          <w:color w:val="000000"/>
          <w:lang w:val="it-IT"/>
        </w:rPr>
      </w:pPr>
      <w:r w:rsidRPr="000D4E6D">
        <w:rPr>
          <w:rFonts w:ascii="Calibri" w:eastAsia="Calibri" w:hAnsi="Calibri" w:cs="Calibri"/>
          <w:color w:val="000000"/>
          <w:sz w:val="18"/>
          <w:szCs w:val="18"/>
          <w:lang w:val="it-IT"/>
        </w:rPr>
        <w:t>Centro Euro-Mediterraneo sui Cambiamenti Climatici, (2017)Piano Nazionale di Adattamento ai Cambiamenti Climatici PNACC</w:t>
      </w:r>
    </w:p>
    <w:p w:rsidR="004B5885" w:rsidRDefault="00790348">
      <w:pPr>
        <w:numPr>
          <w:ilvl w:val="0"/>
          <w:numId w:val="1"/>
        </w:numPr>
        <w:pBdr>
          <w:top w:val="nil"/>
          <w:left w:val="nil"/>
          <w:bottom w:val="nil"/>
          <w:right w:val="nil"/>
          <w:between w:val="nil"/>
        </w:pBdr>
        <w:tabs>
          <w:tab w:val="left" w:pos="384"/>
        </w:tabs>
        <w:spacing w:before="90" w:line="216" w:lineRule="auto"/>
        <w:ind w:right="137" w:hanging="283"/>
        <w:jc w:val="both"/>
        <w:rPr>
          <w:color w:val="000000"/>
        </w:rPr>
      </w:pPr>
      <w:r>
        <w:rPr>
          <w:rFonts w:ascii="Calibri" w:eastAsia="Calibri" w:hAnsi="Calibri" w:cs="Calibri"/>
          <w:color w:val="000000"/>
          <w:sz w:val="18"/>
          <w:szCs w:val="18"/>
        </w:rPr>
        <w:t>Bonaldo et al., (2019) Integrating multidisciplina</w:t>
      </w:r>
      <w:r>
        <w:rPr>
          <w:rFonts w:ascii="Calibri" w:eastAsia="Calibri" w:hAnsi="Calibri" w:cs="Calibri"/>
          <w:color w:val="000000"/>
          <w:sz w:val="18"/>
          <w:szCs w:val="18"/>
        </w:rPr>
        <w:t xml:space="preserve">ry instruments for assessing coastal vulnerability to erosion and sea level rise: lessons and challenges from the Adriatic Sea Italy, J Coast </w:t>
      </w:r>
      <w:proofErr w:type="spellStart"/>
      <w:r>
        <w:rPr>
          <w:rFonts w:ascii="Calibri" w:eastAsia="Calibri" w:hAnsi="Calibri" w:cs="Calibri"/>
          <w:color w:val="000000"/>
          <w:sz w:val="18"/>
          <w:szCs w:val="18"/>
        </w:rPr>
        <w:t>Conserv</w:t>
      </w:r>
      <w:proofErr w:type="spellEnd"/>
      <w:r>
        <w:rPr>
          <w:rFonts w:ascii="Calibri" w:eastAsia="Calibri" w:hAnsi="Calibri" w:cs="Calibri"/>
          <w:color w:val="000000"/>
          <w:sz w:val="18"/>
          <w:szCs w:val="18"/>
        </w:rPr>
        <w:t xml:space="preserve"> 23: 19</w:t>
      </w:r>
    </w:p>
    <w:p w:rsidR="004B5885" w:rsidRDefault="00790348">
      <w:pPr>
        <w:numPr>
          <w:ilvl w:val="0"/>
          <w:numId w:val="1"/>
        </w:numPr>
        <w:pBdr>
          <w:top w:val="nil"/>
          <w:left w:val="nil"/>
          <w:bottom w:val="nil"/>
          <w:right w:val="nil"/>
          <w:between w:val="nil"/>
        </w:pBdr>
        <w:tabs>
          <w:tab w:val="left" w:pos="384"/>
        </w:tabs>
        <w:spacing w:before="90" w:line="216" w:lineRule="auto"/>
        <w:ind w:right="137" w:hanging="283"/>
        <w:jc w:val="both"/>
        <w:rPr>
          <w:color w:val="000000"/>
        </w:rPr>
      </w:pPr>
      <w:proofErr w:type="spellStart"/>
      <w:r>
        <w:rPr>
          <w:rFonts w:ascii="Calibri" w:eastAsia="Calibri" w:hAnsi="Calibri" w:cs="Calibri"/>
          <w:color w:val="000000"/>
          <w:sz w:val="18"/>
          <w:szCs w:val="18"/>
        </w:rPr>
        <w:t>Benetazzo</w:t>
      </w:r>
      <w:proofErr w:type="spellEnd"/>
      <w:r>
        <w:rPr>
          <w:rFonts w:ascii="Calibri" w:eastAsia="Calibri" w:hAnsi="Calibri" w:cs="Calibri"/>
          <w:color w:val="000000"/>
          <w:sz w:val="18"/>
          <w:szCs w:val="18"/>
        </w:rPr>
        <w:t xml:space="preserve"> et al. (2012) Wave climate of the Adriatic Sea: a future scenario simulation, Nat. Hazard</w:t>
      </w:r>
      <w:r>
        <w:rPr>
          <w:rFonts w:ascii="Calibri" w:eastAsia="Calibri" w:hAnsi="Calibri" w:cs="Calibri"/>
          <w:color w:val="000000"/>
          <w:sz w:val="18"/>
          <w:szCs w:val="18"/>
        </w:rPr>
        <w:t>s Earth Syst. Sci., 2065-2076</w:t>
      </w:r>
    </w:p>
    <w:p w:rsidR="004B5885" w:rsidRDefault="004B5885">
      <w:pPr>
        <w:tabs>
          <w:tab w:val="left" w:pos="384"/>
        </w:tabs>
        <w:ind w:right="117"/>
      </w:pPr>
    </w:p>
    <w:p w:rsidR="004B5885" w:rsidRDefault="00790348">
      <w:pPr>
        <w:spacing w:line="200" w:lineRule="auto"/>
        <w:jc w:val="both"/>
        <w:rPr>
          <w:rFonts w:ascii="Calibri" w:eastAsia="Calibri" w:hAnsi="Calibri" w:cs="Calibri"/>
        </w:rPr>
        <w:sectPr w:rsidR="004B5885">
          <w:type w:val="continuous"/>
          <w:pgSz w:w="11910" w:h="16840"/>
          <w:pgMar w:top="1740" w:right="600" w:bottom="840" w:left="620" w:header="541" w:footer="642" w:gutter="0"/>
          <w:cols w:num="2" w:space="720" w:equalWidth="0">
            <w:col w:w="5276" w:space="138"/>
            <w:col w:w="5276" w:space="0"/>
          </w:cols>
        </w:sectPr>
      </w:pPr>
      <w:r>
        <w:rPr>
          <w:rFonts w:ascii="Calibri" w:eastAsia="Calibri" w:hAnsi="Calibri" w:cs="Calibri"/>
        </w:rPr>
        <w:t xml:space="preserve">   </w:t>
      </w:r>
    </w:p>
    <w:p w:rsidR="004B5885" w:rsidRDefault="004B5885">
      <w:pPr>
        <w:pBdr>
          <w:top w:val="nil"/>
          <w:left w:val="nil"/>
          <w:bottom w:val="nil"/>
          <w:right w:val="nil"/>
          <w:between w:val="nil"/>
        </w:pBdr>
        <w:rPr>
          <w:rFonts w:ascii="Calibri" w:eastAsia="Calibri" w:hAnsi="Calibri" w:cs="Calibri"/>
          <w:color w:val="000000"/>
          <w:sz w:val="20"/>
          <w:szCs w:val="20"/>
        </w:rPr>
      </w:pPr>
    </w:p>
    <w:p w:rsidR="004B5885" w:rsidRPr="00A611E5" w:rsidRDefault="004B5885" w:rsidP="00A611E5">
      <w:pPr>
        <w:pBdr>
          <w:top w:val="nil"/>
          <w:left w:val="nil"/>
          <w:bottom w:val="nil"/>
          <w:right w:val="nil"/>
          <w:between w:val="nil"/>
        </w:pBdr>
        <w:spacing w:line="40" w:lineRule="auto"/>
        <w:ind w:left="2202"/>
        <w:rPr>
          <w:rFonts w:ascii="Calibri" w:eastAsia="Calibri" w:hAnsi="Calibri" w:cs="Calibri"/>
          <w:color w:val="000000"/>
          <w:sz w:val="4"/>
          <w:szCs w:val="4"/>
        </w:rPr>
      </w:pPr>
      <w:r w:rsidRPr="004B5885">
        <w:rPr>
          <w:rFonts w:ascii="Calibri" w:eastAsia="Calibri" w:hAnsi="Calibri" w:cs="Calibri"/>
          <w:color w:val="000000"/>
          <w:sz w:val="4"/>
          <w:szCs w:val="4"/>
        </w:rPr>
      </w:r>
      <w:r>
        <w:rPr>
          <w:rFonts w:ascii="Calibri" w:eastAsia="Calibri" w:hAnsi="Calibri" w:cs="Calibri"/>
          <w:color w:val="000000"/>
          <w:sz w:val="4"/>
          <w:szCs w:val="4"/>
        </w:rPr>
        <w:pict>
          <v:group id="1026" o:spid="_x0000_s1027" style="width:313.05pt;height:2pt;mso-wrap-distance-left:0;mso-wrap-distance-right:0;mso-position-horizontal-relative:char;mso-position-vertical-relative:line" coordsize="6261,40f">
            <v:line id="1027" o:spid="_x0000_s1028" style="position:absolute;visibility:visible" from="20,20" to="6241,20" strokecolor="#004080" strokeweight="2pt">
              <v:fill angle="180"/>
            </v:line>
            <w10:wrap type="none"/>
            <w10:anchorlock/>
          </v:group>
        </w:pict>
      </w:r>
    </w:p>
    <w:p w:rsidR="004B5885" w:rsidRDefault="00790348">
      <w:pPr>
        <w:spacing w:before="92"/>
        <w:ind w:right="4234"/>
        <w:rPr>
          <w:rFonts w:ascii="Arial" w:eastAsia="Arial" w:hAnsi="Arial" w:cs="Arial"/>
        </w:rPr>
      </w:pPr>
      <w:r>
        <w:rPr>
          <w:rFonts w:ascii="Arial" w:eastAsia="Arial" w:hAnsi="Arial" w:cs="Arial"/>
          <w:color w:val="BF5A14"/>
        </w:rPr>
        <w:t>Biography (150 word limit)</w:t>
      </w:r>
    </w:p>
    <w:p w:rsidR="004B5885" w:rsidRDefault="00790348">
      <w:pPr>
        <w:spacing w:before="41" w:line="154" w:lineRule="auto"/>
        <w:ind w:left="213" w:right="231"/>
        <w:jc w:val="both"/>
        <w:rPr>
          <w:rFonts w:ascii="Arial" w:eastAsia="Arial" w:hAnsi="Arial" w:cs="Arial"/>
          <w:sz w:val="14"/>
          <w:szCs w:val="14"/>
        </w:rPr>
      </w:pPr>
      <w:r>
        <w:rPr>
          <w:rFonts w:ascii="Arial" w:eastAsia="Arial" w:hAnsi="Arial" w:cs="Arial"/>
          <w:sz w:val="14"/>
          <w:szCs w:val="14"/>
        </w:rPr>
        <w:t xml:space="preserve">Luisa Nicoletti, senior technologist, head of ISPRA’s section responsible for the ecological protection of the marine and coastal environment. Degree in biological sciences, PhD </w:t>
      </w:r>
      <w:r>
        <w:rPr>
          <w:rFonts w:ascii="Arial" w:eastAsia="Arial" w:hAnsi="Arial" w:cs="Arial"/>
          <w:sz w:val="14"/>
          <w:szCs w:val="14"/>
        </w:rPr>
        <w:t xml:space="preserve">in animal biology, long experience as researcher in </w:t>
      </w:r>
      <w:proofErr w:type="spellStart"/>
      <w:r>
        <w:rPr>
          <w:rFonts w:ascii="Arial" w:eastAsia="Arial" w:hAnsi="Arial" w:cs="Arial"/>
          <w:sz w:val="14"/>
          <w:szCs w:val="14"/>
        </w:rPr>
        <w:t>environrnental</w:t>
      </w:r>
      <w:proofErr w:type="spellEnd"/>
      <w:r>
        <w:rPr>
          <w:rFonts w:ascii="Arial" w:eastAsia="Arial" w:hAnsi="Arial" w:cs="Arial"/>
          <w:sz w:val="14"/>
          <w:szCs w:val="14"/>
        </w:rPr>
        <w:t xml:space="preserve"> characterization and monitoring studies in coastal erosion, climate change and ecosystem impacts, environmental planning, marine hard and soft-bottom sampling techniques, taxonomical identi</w:t>
      </w:r>
      <w:r>
        <w:rPr>
          <w:rFonts w:ascii="Arial" w:eastAsia="Arial" w:hAnsi="Arial" w:cs="Arial"/>
          <w:sz w:val="14"/>
          <w:szCs w:val="14"/>
        </w:rPr>
        <w:t>fication of benthic species, microscope techniques of observation and imaging ecology. She has been project manager of various Italian and international projects and head of missions carried out on oceanographic vessels in the Mediterranean Sea.</w:t>
      </w:r>
      <w:r w:rsidR="004B5885" w:rsidRPr="004B5885">
        <w:pict>
          <v:line id="1030" o:spid="_x0000_s1026" style="position:absolute;left:0;text-align:left;z-index:2;visibility:visible;mso-wrap-distance-left:0;mso-wrap-distance-right:0;mso-position-horizontal-relative:margin;mso-position-vertical-relative:text" from="159.05pt,175.95pt" to="430.1pt,175.95pt" strokecolor="#004080" strokeweight=".5pt">
            <v:fill angle="180"/>
            <w10:wrap type="topAndBottom" anchorx="margin"/>
          </v:line>
        </w:pict>
      </w:r>
    </w:p>
    <w:p w:rsidR="004B5885" w:rsidRPr="00A611E5" w:rsidRDefault="00790348" w:rsidP="00A611E5">
      <w:pPr>
        <w:spacing w:before="62"/>
        <w:ind w:left="4217" w:right="4235"/>
        <w:jc w:val="center"/>
        <w:rPr>
          <w:rFonts w:ascii="Arial" w:eastAsia="Arial" w:hAnsi="Arial" w:cs="Arial"/>
          <w:sz w:val="14"/>
          <w:szCs w:val="14"/>
        </w:rPr>
      </w:pPr>
      <w:r>
        <w:rPr>
          <w:rFonts w:ascii="Arial" w:eastAsia="Arial" w:hAnsi="Arial" w:cs="Arial"/>
          <w:sz w:val="14"/>
          <w:szCs w:val="14"/>
        </w:rPr>
        <w:t>Email: lu</w:t>
      </w:r>
      <w:r>
        <w:rPr>
          <w:rFonts w:ascii="Arial" w:eastAsia="Arial" w:hAnsi="Arial" w:cs="Arial"/>
          <w:sz w:val="14"/>
          <w:szCs w:val="14"/>
        </w:rPr>
        <w:t>isa.nicoletti@isprambiente.it</w:t>
      </w:r>
    </w:p>
    <w:p w:rsidR="004B5885" w:rsidRPr="00A611E5" w:rsidRDefault="00790348" w:rsidP="00A611E5">
      <w:pPr>
        <w:spacing w:before="39"/>
        <w:ind w:left="100"/>
        <w:rPr>
          <w:rFonts w:ascii="EB Garamond" w:eastAsia="EB Garamond" w:hAnsi="EB Garamond" w:cs="EB Garamond"/>
          <w:b/>
          <w:sz w:val="20"/>
          <w:szCs w:val="20"/>
        </w:rPr>
        <w:sectPr w:rsidR="004B5885" w:rsidRPr="00A611E5">
          <w:type w:val="continuous"/>
          <w:pgSz w:w="11910" w:h="16840"/>
          <w:pgMar w:top="1740" w:right="600" w:bottom="840" w:left="620" w:header="541" w:footer="642" w:gutter="0"/>
          <w:cols w:space="720"/>
        </w:sectPr>
      </w:pPr>
      <w:r>
        <w:rPr>
          <w:rFonts w:ascii="EB Garamond" w:eastAsia="EB Garamond" w:hAnsi="EB Garamond" w:cs="EB Garamond"/>
          <w:b/>
          <w:sz w:val="20"/>
          <w:szCs w:val="20"/>
        </w:rPr>
        <w:t>Notes/Comments:</w:t>
      </w:r>
    </w:p>
    <w:p w:rsidR="004B5885" w:rsidRDefault="004B5885" w:rsidP="00A611E5">
      <w:pPr>
        <w:pBdr>
          <w:top w:val="nil"/>
          <w:left w:val="nil"/>
          <w:bottom w:val="nil"/>
          <w:right w:val="nil"/>
          <w:between w:val="nil"/>
        </w:pBdr>
        <w:spacing w:before="3"/>
        <w:rPr>
          <w:rFonts w:ascii="EB Garamond" w:eastAsia="EB Garamond" w:hAnsi="EB Garamond" w:cs="EB Garamond"/>
          <w:color w:val="000000"/>
          <w:sz w:val="26"/>
          <w:szCs w:val="26"/>
        </w:rPr>
      </w:pPr>
    </w:p>
    <w:sectPr w:rsidR="004B5885" w:rsidSect="004B5885">
      <w:type w:val="continuous"/>
      <w:pgSz w:w="11910" w:h="16840"/>
      <w:pgMar w:top="1740" w:right="600" w:bottom="840" w:left="620" w:header="541" w:footer="642" w:gutter="0"/>
      <w:cols w:num="2" w:space="720" w:equalWidth="0">
        <w:col w:w="5276" w:space="138"/>
        <w:col w:w="5276" w:space="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348" w:rsidRDefault="00790348" w:rsidP="004B5885">
      <w:r>
        <w:separator/>
      </w:r>
    </w:p>
  </w:endnote>
  <w:endnote w:type="continuationSeparator" w:id="0">
    <w:p w:rsidR="00790348" w:rsidRDefault="00790348" w:rsidP="004B58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wentieth Century">
    <w:altName w:val="Times New Roman"/>
    <w:charset w:val="00"/>
    <w:family w:val="auto"/>
    <w:pitch w:val="default"/>
    <w:sig w:usb0="0000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yriad Pro">
    <w:altName w:val="Times New Roman"/>
    <w:panose1 w:val="00000000000000000000"/>
    <w:charset w:val="00"/>
    <w:family w:val="roman"/>
    <w:notTrueType/>
    <w:pitch w:val="default"/>
    <w:sig w:usb0="00000000" w:usb1="00000000" w:usb2="00000000" w:usb3="00000000" w:csb0="00000000" w:csb1="00000000"/>
  </w:font>
  <w:font w:name="Impact">
    <w:panose1 w:val="020B0806030902050204"/>
    <w:charset w:val="00"/>
    <w:family w:val="swiss"/>
    <w:pitch w:val="variable"/>
    <w:sig w:usb0="00000287" w:usb1="00000000" w:usb2="00000000" w:usb3="00000000" w:csb0="0000009F" w:csb1="00000000"/>
  </w:font>
  <w:font w:name="EB Garamond">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85" w:rsidRDefault="004B5885">
    <w:pPr>
      <w:pBdr>
        <w:top w:val="nil"/>
        <w:left w:val="nil"/>
        <w:bottom w:val="nil"/>
        <w:right w:val="nil"/>
        <w:between w:val="nil"/>
      </w:pBdr>
      <w:spacing w:line="14" w:lineRule="auto"/>
      <w:rPr>
        <w:rFonts w:ascii="Twentieth Century" w:eastAsia="Twentieth Century" w:hAnsi="Twentieth Century" w:cs="Twentieth Century"/>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348" w:rsidRDefault="00790348" w:rsidP="004B5885">
      <w:r>
        <w:separator/>
      </w:r>
    </w:p>
  </w:footnote>
  <w:footnote w:type="continuationSeparator" w:id="0">
    <w:p w:rsidR="00790348" w:rsidRDefault="00790348" w:rsidP="004B58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85" w:rsidRDefault="004B5885">
    <w:pPr>
      <w:pBdr>
        <w:top w:val="nil"/>
        <w:left w:val="nil"/>
        <w:bottom w:val="nil"/>
        <w:right w:val="nil"/>
        <w:between w:val="nil"/>
      </w:pBdr>
      <w:spacing w:line="14" w:lineRule="auto"/>
      <w:rPr>
        <w:rFonts w:ascii="Twentieth Century" w:eastAsia="Twentieth Century" w:hAnsi="Twentieth Century" w:cs="Twentieth Century"/>
        <w:color w:val="000000"/>
        <w:sz w:val="20"/>
        <w:szCs w:val="20"/>
      </w:rPr>
    </w:pPr>
    <w:r w:rsidRPr="004B5885">
      <w:pict>
        <v:shapetype id="_x0000_t202" coordsize="21600,21600" o:spt="202" path="m,l,21600r21600,l21600,xe">
          <v:stroke joinstyle="miter"/>
          <v:path gradientshapeok="t" o:connecttype="rect"/>
        </v:shapetype>
        <v:shape id="4099" o:spid="_x0000_s2050" type="#_x0000_t202" style="position:absolute;margin-left:4pt;margin-top:22.25pt;width:515.95pt;height:40.1pt;z-index:-251658240;visibility:visible;mso-wrap-distance-left:0;mso-wrap-distance-right:0;mso-position-horizontal-relative:margin" filled="f" stroked="f">
          <v:fill angle="180"/>
          <v:textbox inset="0,0,0,0">
            <w:txbxContent>
              <w:p w:rsidR="004B5885" w:rsidRDefault="00790348">
                <w:pPr>
                  <w:pStyle w:val="Corpodeltesto"/>
                  <w:spacing w:line="187" w:lineRule="exact"/>
                  <w:ind w:left="20" w:right="-10"/>
                  <w:rPr>
                    <w:rFonts w:ascii="Myriad Pro"/>
                    <w:color w:val="FFFFFF"/>
                  </w:rPr>
                </w:pPr>
                <w:r>
                  <w:rPr>
                    <w:rFonts w:ascii="Myriad Pro"/>
                    <w:color w:val="FFFFFF"/>
                  </w:rPr>
                  <w:t>International Conference on</w:t>
                </w:r>
              </w:p>
              <w:p w:rsidR="004B5885" w:rsidRDefault="00790348">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 xml:space="preserve">(June </w:t>
                </w:r>
                <w:r>
                  <w:rPr>
                    <w:rFonts w:ascii="Minion Pro"/>
                    <w:color w:val="FFFFFF"/>
                    <w:sz w:val="24"/>
                  </w:rPr>
                  <w:t>15-16, 2016   Philadelphia, USA)</w:t>
                </w:r>
              </w:p>
            </w:txbxContent>
          </v:textbox>
          <w10:wrap anchorx="margin"/>
        </v:shape>
      </w:pict>
    </w:r>
    <w:r w:rsidRPr="004B5885">
      <w:pict>
        <v:shape id="4098" o:spid="_x0000_s2049" type="#_x0000_t202" style="position:absolute;margin-left:385pt;margin-top:0;width:144.3pt;height:17.4pt;z-index:-251659264;visibility:visible;mso-wrap-distance-left:0;mso-wrap-distance-right:0;mso-position-horizontal-relative:margin" filled="f" stroked="f">
          <v:fill angle="180"/>
          <v:textbox inset="0,0,0,0">
            <w:txbxContent>
              <w:p w:rsidR="004B5885" w:rsidRDefault="00790348">
                <w:pPr>
                  <w:spacing w:before="2" w:line="249" w:lineRule="auto"/>
                  <w:ind w:left="156" w:right="18" w:hanging="137"/>
                  <w:rPr>
                    <w:rFonts w:ascii="Arial"/>
                    <w:color w:val="FFFFFF"/>
                    <w:sz w:val="14"/>
                    <w:lang w:val="fr-FR"/>
                  </w:rPr>
                </w:pPr>
                <w:r>
                  <w:rPr>
                    <w:rFonts w:ascii="Arial"/>
                    <w:color w:val="FFFFFF"/>
                    <w:sz w:val="14"/>
                    <w:lang w:val="fr-FR"/>
                  </w:rPr>
                  <w:t xml:space="preserve">T Furuta et al., J </w:t>
                </w:r>
                <w:proofErr w:type="spellStart"/>
                <w:r>
                  <w:rPr>
                    <w:rFonts w:ascii="Arial"/>
                    <w:color w:val="FFFFFF"/>
                    <w:sz w:val="14"/>
                    <w:lang w:val="fr-FR"/>
                  </w:rPr>
                  <w:t>Pai</w:t>
                </w:r>
                <w:proofErr w:type="spellEnd"/>
                <w:r>
                  <w:rPr>
                    <w:rFonts w:ascii="Arial"/>
                    <w:color w:val="FFFFFF"/>
                    <w:sz w:val="14"/>
                    <w:lang w:val="fr-FR"/>
                  </w:rPr>
                  <w:t xml:space="preserve"> n Relief 2016, 5:3(</w:t>
                </w:r>
                <w:proofErr w:type="spellStart"/>
                <w:r>
                  <w:rPr>
                    <w:rFonts w:ascii="Arial"/>
                    <w:color w:val="FFFFFF"/>
                    <w:sz w:val="14"/>
                    <w:lang w:val="fr-FR"/>
                  </w:rPr>
                  <w:t>Suppl</w:t>
                </w:r>
                <w:proofErr w:type="spellEnd"/>
                <w:r>
                  <w:rPr>
                    <w:rFonts w:ascii="Arial"/>
                    <w:color w:val="FFFFFF"/>
                    <w:sz w:val="14"/>
                    <w:lang w:val="fr-FR"/>
                  </w:rPr>
                  <w:t xml:space="preserve">) </w:t>
                </w:r>
                <w:hyperlink r:id="rId1">
                  <w:r>
                    <w:rPr>
                      <w:rFonts w:ascii="Arial"/>
                      <w:color w:val="FFFFFF"/>
                      <w:sz w:val="14"/>
                      <w:lang w:val="fr-FR"/>
                    </w:rPr>
                    <w:t>http://dx.doi.org/10.4172/2167-0846.C1.006</w:t>
                  </w:r>
                </w:hyperlink>
              </w:p>
            </w:txbxContent>
          </v:textbox>
          <w10:wrap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642B6"/>
    <w:multiLevelType w:val="multilevel"/>
    <w:tmpl w:val="FED02756"/>
    <w:lvl w:ilvl="0">
      <w:start w:val="1"/>
      <w:numFmt w:val="decimal"/>
      <w:lvlText w:val="%1."/>
      <w:lvlJc w:val="left"/>
      <w:pPr>
        <w:ind w:left="383" w:hanging="284"/>
      </w:pPr>
      <w:rPr>
        <w:rFonts w:ascii="Calibri" w:eastAsia="Calibri" w:hAnsi="Calibri" w:cs="Calibri"/>
        <w:sz w:val="18"/>
        <w:szCs w:val="18"/>
      </w:rPr>
    </w:lvl>
    <w:lvl w:ilvl="1">
      <w:start w:val="1"/>
      <w:numFmt w:val="bullet"/>
      <w:lvlText w:val="•"/>
      <w:lvlJc w:val="left"/>
      <w:pPr>
        <w:ind w:left="877" w:hanging="284"/>
      </w:pPr>
    </w:lvl>
    <w:lvl w:ilvl="2">
      <w:start w:val="1"/>
      <w:numFmt w:val="bullet"/>
      <w:lvlText w:val="•"/>
      <w:lvlJc w:val="left"/>
      <w:pPr>
        <w:ind w:left="1374" w:hanging="284"/>
      </w:pPr>
    </w:lvl>
    <w:lvl w:ilvl="3">
      <w:start w:val="1"/>
      <w:numFmt w:val="bullet"/>
      <w:lvlText w:val="•"/>
      <w:lvlJc w:val="left"/>
      <w:pPr>
        <w:ind w:left="1871" w:hanging="284"/>
      </w:pPr>
    </w:lvl>
    <w:lvl w:ilvl="4">
      <w:start w:val="1"/>
      <w:numFmt w:val="bullet"/>
      <w:lvlText w:val="•"/>
      <w:lvlJc w:val="left"/>
      <w:pPr>
        <w:ind w:left="2369" w:hanging="284"/>
      </w:pPr>
    </w:lvl>
    <w:lvl w:ilvl="5">
      <w:start w:val="1"/>
      <w:numFmt w:val="bullet"/>
      <w:lvlText w:val="•"/>
      <w:lvlJc w:val="left"/>
      <w:pPr>
        <w:ind w:left="2866" w:hanging="283"/>
      </w:pPr>
    </w:lvl>
    <w:lvl w:ilvl="6">
      <w:start w:val="1"/>
      <w:numFmt w:val="bullet"/>
      <w:lvlText w:val="•"/>
      <w:lvlJc w:val="left"/>
      <w:pPr>
        <w:ind w:left="3363" w:hanging="283"/>
      </w:pPr>
    </w:lvl>
    <w:lvl w:ilvl="7">
      <w:start w:val="1"/>
      <w:numFmt w:val="bullet"/>
      <w:lvlText w:val="•"/>
      <w:lvlJc w:val="left"/>
      <w:pPr>
        <w:ind w:left="3860" w:hanging="284"/>
      </w:pPr>
    </w:lvl>
    <w:lvl w:ilvl="8">
      <w:start w:val="1"/>
      <w:numFmt w:val="bullet"/>
      <w:lvlText w:val="•"/>
      <w:lvlJc w:val="left"/>
      <w:pPr>
        <w:ind w:left="4358" w:hanging="283"/>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4B5885"/>
    <w:rsid w:val="000D4E6D"/>
    <w:rsid w:val="004B5885"/>
    <w:rsid w:val="00790348"/>
    <w:rsid w:val="00A611E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wentieth Century" w:eastAsia="Twentieth Century" w:hAnsi="Twentieth Century" w:cs="Twentieth Century"/>
        <w:sz w:val="22"/>
        <w:szCs w:val="22"/>
        <w:lang w:val="en-US"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4B5885"/>
    <w:rPr>
      <w:rFonts w:ascii="Tw Cen MT" w:eastAsia="Tw Cen MT" w:hAnsi="Tw Cen MT" w:cs="Tw Cen MT"/>
    </w:rPr>
  </w:style>
  <w:style w:type="paragraph" w:styleId="Titolo1">
    <w:name w:val="heading 1"/>
    <w:basedOn w:val="Normale"/>
    <w:uiPriority w:val="1"/>
    <w:qFormat/>
    <w:rsid w:val="004B588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4B5885"/>
    <w:pPr>
      <w:ind w:left="100"/>
      <w:outlineLvl w:val="1"/>
    </w:pPr>
    <w:rPr>
      <w:rFonts w:ascii="Minion Pro" w:eastAsia="Minion Pro" w:hAnsi="Minion Pro" w:cs="Minion Pro"/>
      <w:sz w:val="24"/>
      <w:szCs w:val="24"/>
    </w:rPr>
  </w:style>
  <w:style w:type="paragraph" w:styleId="Titolo3">
    <w:name w:val="heading 3"/>
    <w:basedOn w:val="Normale"/>
    <w:uiPriority w:val="1"/>
    <w:qFormat/>
    <w:rsid w:val="004B5885"/>
    <w:pPr>
      <w:ind w:left="100"/>
      <w:outlineLvl w:val="2"/>
    </w:pPr>
    <w:rPr>
      <w:rFonts w:ascii="Arial" w:eastAsia="Arial" w:hAnsi="Arial" w:cs="Arial"/>
      <w:b/>
      <w:bCs/>
      <w:sz w:val="20"/>
      <w:szCs w:val="20"/>
    </w:rPr>
  </w:style>
  <w:style w:type="paragraph" w:styleId="Titolo4">
    <w:name w:val="heading 4"/>
    <w:basedOn w:val="normal"/>
    <w:next w:val="normal"/>
    <w:rsid w:val="004B5885"/>
    <w:pPr>
      <w:keepNext/>
      <w:keepLines/>
      <w:spacing w:before="240" w:after="40"/>
      <w:outlineLvl w:val="3"/>
    </w:pPr>
    <w:rPr>
      <w:b/>
      <w:sz w:val="24"/>
      <w:szCs w:val="24"/>
    </w:rPr>
  </w:style>
  <w:style w:type="paragraph" w:styleId="Titolo5">
    <w:name w:val="heading 5"/>
    <w:basedOn w:val="normal"/>
    <w:next w:val="normal"/>
    <w:rsid w:val="004B5885"/>
    <w:pPr>
      <w:keepNext/>
      <w:keepLines/>
      <w:spacing w:before="220" w:after="40"/>
      <w:outlineLvl w:val="4"/>
    </w:pPr>
    <w:rPr>
      <w:b/>
    </w:rPr>
  </w:style>
  <w:style w:type="paragraph" w:styleId="Titolo6">
    <w:name w:val="heading 6"/>
    <w:basedOn w:val="normal"/>
    <w:next w:val="normal"/>
    <w:rsid w:val="004B5885"/>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4B5885"/>
  </w:style>
  <w:style w:type="table" w:customStyle="1" w:styleId="TableNormal">
    <w:name w:val="Table Normal"/>
    <w:rsid w:val="004B5885"/>
    <w:tblPr>
      <w:tblCellMar>
        <w:top w:w="0" w:type="dxa"/>
        <w:left w:w="0" w:type="dxa"/>
        <w:bottom w:w="0" w:type="dxa"/>
        <w:right w:w="0" w:type="dxa"/>
      </w:tblCellMar>
    </w:tblPr>
  </w:style>
  <w:style w:type="paragraph" w:styleId="Titolo">
    <w:name w:val="Title"/>
    <w:basedOn w:val="normal"/>
    <w:next w:val="normal"/>
    <w:rsid w:val="004B5885"/>
    <w:pPr>
      <w:keepNext/>
      <w:keepLines/>
      <w:spacing w:before="480" w:after="120"/>
    </w:pPr>
    <w:rPr>
      <w:b/>
      <w:sz w:val="72"/>
      <w:szCs w:val="72"/>
    </w:rPr>
  </w:style>
  <w:style w:type="paragraph" w:styleId="Corpodeltesto">
    <w:name w:val="Body Text"/>
    <w:basedOn w:val="Normale"/>
    <w:link w:val="CorpodeltestoCarattere"/>
    <w:uiPriority w:val="1"/>
    <w:qFormat/>
    <w:rsid w:val="004B5885"/>
    <w:rPr>
      <w:sz w:val="18"/>
      <w:szCs w:val="18"/>
    </w:rPr>
  </w:style>
  <w:style w:type="paragraph" w:styleId="Paragrafoelenco">
    <w:name w:val="List Paragraph"/>
    <w:basedOn w:val="Normale"/>
    <w:uiPriority w:val="1"/>
    <w:qFormat/>
    <w:rsid w:val="004B588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4B5885"/>
  </w:style>
  <w:style w:type="paragraph" w:styleId="Intestazione">
    <w:name w:val="header"/>
    <w:basedOn w:val="Normale"/>
    <w:link w:val="IntestazioneCarattere"/>
    <w:uiPriority w:val="99"/>
    <w:rsid w:val="004B5885"/>
    <w:pPr>
      <w:tabs>
        <w:tab w:val="center" w:pos="4513"/>
        <w:tab w:val="right" w:pos="9026"/>
      </w:tabs>
    </w:pPr>
  </w:style>
  <w:style w:type="character" w:customStyle="1" w:styleId="IntestazioneCarattere">
    <w:name w:val="Intestazione Carattere"/>
    <w:basedOn w:val="Carpredefinitoparagrafo"/>
    <w:link w:val="Intestazione"/>
    <w:uiPriority w:val="99"/>
    <w:rsid w:val="004B5885"/>
    <w:rPr>
      <w:rFonts w:ascii="Tw Cen MT" w:eastAsia="Tw Cen MT" w:hAnsi="Tw Cen MT" w:cs="Tw Cen MT"/>
    </w:rPr>
  </w:style>
  <w:style w:type="paragraph" w:styleId="Pidipagina">
    <w:name w:val="footer"/>
    <w:basedOn w:val="Normale"/>
    <w:link w:val="PidipaginaCarattere"/>
    <w:uiPriority w:val="99"/>
    <w:rsid w:val="004B5885"/>
    <w:pPr>
      <w:tabs>
        <w:tab w:val="center" w:pos="4513"/>
        <w:tab w:val="right" w:pos="9026"/>
      </w:tabs>
    </w:pPr>
  </w:style>
  <w:style w:type="character" w:customStyle="1" w:styleId="PidipaginaCarattere">
    <w:name w:val="Piè di pagina Carattere"/>
    <w:basedOn w:val="Carpredefinitoparagrafo"/>
    <w:link w:val="Pidipagina"/>
    <w:uiPriority w:val="99"/>
    <w:rsid w:val="004B5885"/>
    <w:rPr>
      <w:rFonts w:ascii="Tw Cen MT" w:eastAsia="Tw Cen MT" w:hAnsi="Tw Cen MT" w:cs="Tw Cen MT"/>
    </w:rPr>
  </w:style>
  <w:style w:type="paragraph" w:styleId="Testofumetto">
    <w:name w:val="Balloon Text"/>
    <w:basedOn w:val="Normale"/>
    <w:link w:val="TestofumettoCarattere"/>
    <w:uiPriority w:val="99"/>
    <w:rsid w:val="004B5885"/>
    <w:rPr>
      <w:rFonts w:ascii="Tahoma" w:hAnsi="Tahoma" w:cs="Tahoma"/>
      <w:sz w:val="16"/>
      <w:szCs w:val="16"/>
    </w:rPr>
  </w:style>
  <w:style w:type="character" w:customStyle="1" w:styleId="TestofumettoCarattere">
    <w:name w:val="Testo fumetto Carattere"/>
    <w:basedOn w:val="Carpredefinitoparagrafo"/>
    <w:link w:val="Testofumetto"/>
    <w:uiPriority w:val="99"/>
    <w:rsid w:val="004B5885"/>
    <w:rPr>
      <w:rFonts w:ascii="Tahoma" w:eastAsia="Tw Cen MT" w:hAnsi="Tahoma" w:cs="Tahoma"/>
      <w:sz w:val="16"/>
      <w:szCs w:val="16"/>
    </w:rPr>
  </w:style>
  <w:style w:type="character" w:styleId="Collegamentoipertestuale">
    <w:name w:val="Hyperlink"/>
    <w:basedOn w:val="Carpredefinitoparagrafo"/>
    <w:uiPriority w:val="99"/>
    <w:rsid w:val="004B5885"/>
    <w:rPr>
      <w:color w:val="0000FF"/>
      <w:u w:val="single"/>
    </w:rPr>
  </w:style>
  <w:style w:type="character" w:customStyle="1" w:styleId="CorpodeltestoCarattere">
    <w:name w:val="Corpo del testo Carattere"/>
    <w:basedOn w:val="Carpredefinitoparagrafo"/>
    <w:link w:val="Corpodeltesto"/>
    <w:uiPriority w:val="1"/>
    <w:rsid w:val="004B5885"/>
    <w:rPr>
      <w:rFonts w:ascii="Tw Cen MT" w:eastAsia="Tw Cen MT" w:hAnsi="Tw Cen MT" w:cs="Tw Cen MT"/>
      <w:sz w:val="18"/>
      <w:szCs w:val="18"/>
    </w:rPr>
  </w:style>
  <w:style w:type="paragraph" w:customStyle="1" w:styleId="Default">
    <w:name w:val="Default"/>
    <w:rsid w:val="004B5885"/>
    <w:pPr>
      <w:widowControl/>
      <w:autoSpaceDE w:val="0"/>
      <w:autoSpaceDN w:val="0"/>
      <w:adjustRightInd w:val="0"/>
    </w:pPr>
    <w:rPr>
      <w:rFonts w:ascii="Verdana" w:hAnsi="Verdana" w:cs="Verdana"/>
      <w:color w:val="000000"/>
      <w:sz w:val="24"/>
      <w:szCs w:val="24"/>
      <w:lang w:val="it-IT"/>
    </w:rPr>
  </w:style>
  <w:style w:type="paragraph" w:styleId="Sottotitolo">
    <w:name w:val="Subtitle"/>
    <w:basedOn w:val="normal"/>
    <w:next w:val="normal"/>
    <w:rsid w:val="004B5885"/>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searchgate.net/journal/1385-1101_Journal_of_Sea_Research"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736</Words>
  <Characters>4201</Characters>
  <Application>Microsoft Office Word</Application>
  <DocSecurity>0</DocSecurity>
  <Lines>35</Lines>
  <Paragraphs>9</Paragraphs>
  <ScaleCrop>false</ScaleCrop>
  <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cp:lastModifiedBy>
  <cp:revision>3</cp:revision>
  <dcterms:created xsi:type="dcterms:W3CDTF">2019-07-10T07:28:00Z</dcterms:created>
  <dcterms:modified xsi:type="dcterms:W3CDTF">2019-07-10T07:29:00Z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