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7D037" w14:textId="4F50D28C" w:rsidR="00D372F4" w:rsidRPr="005A376B" w:rsidRDefault="000D1266" w:rsidP="000D1266">
      <w:pPr>
        <w:bidi w:val="0"/>
        <w:jc w:val="center"/>
        <w:rPr>
          <w:rFonts w:asciiTheme="majorBidi" w:hAnsiTheme="majorBidi" w:cstheme="majorBidi"/>
          <w:b/>
          <w:bCs/>
          <w:sz w:val="48"/>
          <w:szCs w:val="48"/>
        </w:rPr>
      </w:pPr>
      <w:r w:rsidRPr="005A376B">
        <w:rPr>
          <w:rFonts w:asciiTheme="majorBidi" w:hAnsiTheme="majorBidi" w:cstheme="majorBidi"/>
          <w:b/>
          <w:bCs/>
          <w:sz w:val="48"/>
          <w:szCs w:val="48"/>
        </w:rPr>
        <w:t xml:space="preserve">Do chronic </w:t>
      </w:r>
      <w:proofErr w:type="gramStart"/>
      <w:r w:rsidRPr="005A376B">
        <w:rPr>
          <w:rFonts w:asciiTheme="majorBidi" w:hAnsiTheme="majorBidi" w:cstheme="majorBidi"/>
          <w:b/>
          <w:bCs/>
          <w:sz w:val="48"/>
          <w:szCs w:val="48"/>
        </w:rPr>
        <w:t>hypnotics</w:t>
      </w:r>
      <w:proofErr w:type="gramEnd"/>
      <w:r w:rsidRPr="005A376B">
        <w:rPr>
          <w:rFonts w:asciiTheme="majorBidi" w:hAnsiTheme="majorBidi" w:cstheme="majorBidi"/>
          <w:b/>
          <w:bCs/>
          <w:sz w:val="48"/>
          <w:szCs w:val="48"/>
        </w:rPr>
        <w:t xml:space="preserve"> users truly develop tolerance?</w:t>
      </w:r>
    </w:p>
    <w:p w14:paraId="6AAA2969" w14:textId="77777777" w:rsidR="000D1266" w:rsidRPr="005A376B" w:rsidRDefault="000D1266" w:rsidP="000D1266">
      <w:pPr>
        <w:bidi w:val="0"/>
        <w:jc w:val="center"/>
        <w:rPr>
          <w:rFonts w:asciiTheme="majorBidi" w:hAnsiTheme="majorBidi" w:cstheme="majorBidi"/>
          <w:b/>
          <w:bCs/>
          <w:sz w:val="48"/>
          <w:szCs w:val="48"/>
        </w:rPr>
      </w:pPr>
    </w:p>
    <w:p w14:paraId="38D38D30" w14:textId="275229EF" w:rsidR="00D372F4" w:rsidRPr="005A376B" w:rsidRDefault="000D1266" w:rsidP="000D1266">
      <w:pPr>
        <w:bidi w:val="0"/>
        <w:jc w:val="center"/>
        <w:rPr>
          <w:rFonts w:asciiTheme="majorBidi" w:hAnsiTheme="majorBidi" w:cstheme="majorBidi"/>
          <w:b/>
          <w:bCs/>
          <w:i/>
          <w:iCs/>
          <w:sz w:val="24"/>
          <w:szCs w:val="24"/>
          <w:vertAlign w:val="superscript"/>
        </w:rPr>
      </w:pPr>
      <w:r w:rsidRPr="005A376B">
        <w:rPr>
          <w:rFonts w:asciiTheme="majorBidi" w:hAnsiTheme="majorBidi" w:cstheme="majorBidi"/>
          <w:b/>
          <w:bCs/>
          <w:sz w:val="23"/>
          <w:szCs w:val="23"/>
        </w:rPr>
        <w:t>Amit Green</w:t>
      </w:r>
      <w:proofErr w:type="gramStart"/>
      <w:r w:rsidRPr="005A376B">
        <w:rPr>
          <w:rFonts w:asciiTheme="majorBidi" w:hAnsiTheme="majorBidi" w:cstheme="majorBidi"/>
          <w:b/>
          <w:bCs/>
          <w:sz w:val="23"/>
          <w:szCs w:val="23"/>
        </w:rPr>
        <w:t>,</w:t>
      </w:r>
      <w:r w:rsidRPr="005A376B">
        <w:rPr>
          <w:rFonts w:asciiTheme="majorBidi" w:hAnsiTheme="majorBidi" w:cstheme="majorBidi"/>
          <w:b/>
          <w:bCs/>
          <w:sz w:val="16"/>
          <w:szCs w:val="16"/>
          <w:vertAlign w:val="superscript"/>
        </w:rPr>
        <w:t>1,2</w:t>
      </w:r>
      <w:proofErr w:type="gramEnd"/>
      <w:r w:rsidRPr="005A376B">
        <w:rPr>
          <w:rFonts w:asciiTheme="majorBidi" w:hAnsiTheme="majorBidi" w:cstheme="majorBidi"/>
          <w:b/>
          <w:bCs/>
          <w:sz w:val="16"/>
          <w:szCs w:val="16"/>
        </w:rPr>
        <w:t xml:space="preserve"> </w:t>
      </w:r>
      <w:proofErr w:type="spellStart"/>
      <w:r w:rsidRPr="005A376B">
        <w:rPr>
          <w:rFonts w:asciiTheme="majorBidi" w:hAnsiTheme="majorBidi" w:cstheme="majorBidi"/>
          <w:b/>
          <w:bCs/>
          <w:sz w:val="23"/>
          <w:szCs w:val="23"/>
        </w:rPr>
        <w:t>Merav</w:t>
      </w:r>
      <w:proofErr w:type="spellEnd"/>
      <w:r w:rsidRPr="005A376B">
        <w:rPr>
          <w:rFonts w:asciiTheme="majorBidi" w:hAnsiTheme="majorBidi" w:cstheme="majorBidi"/>
          <w:b/>
          <w:bCs/>
          <w:sz w:val="23"/>
          <w:szCs w:val="23"/>
        </w:rPr>
        <w:t xml:space="preserve"> Bensky,</w:t>
      </w:r>
      <w:r w:rsidRPr="005A376B">
        <w:rPr>
          <w:rFonts w:asciiTheme="majorBidi" w:hAnsiTheme="majorBidi" w:cstheme="majorBidi"/>
          <w:b/>
          <w:bCs/>
          <w:sz w:val="16"/>
          <w:szCs w:val="16"/>
          <w:vertAlign w:val="superscript"/>
        </w:rPr>
        <w:t>1,3</w:t>
      </w:r>
      <w:r w:rsidRPr="005A376B">
        <w:rPr>
          <w:rFonts w:asciiTheme="majorBidi" w:hAnsiTheme="majorBidi" w:cstheme="majorBidi"/>
          <w:b/>
          <w:bCs/>
          <w:sz w:val="16"/>
          <w:szCs w:val="16"/>
        </w:rPr>
        <w:t xml:space="preserve"> </w:t>
      </w:r>
      <w:proofErr w:type="spellStart"/>
      <w:r w:rsidRPr="005A376B">
        <w:rPr>
          <w:rFonts w:asciiTheme="majorBidi" w:hAnsiTheme="majorBidi" w:cstheme="majorBidi"/>
          <w:b/>
          <w:bCs/>
          <w:sz w:val="23"/>
          <w:szCs w:val="23"/>
        </w:rPr>
        <w:t>Lilach</w:t>
      </w:r>
      <w:proofErr w:type="spellEnd"/>
      <w:r w:rsidRPr="005A376B">
        <w:rPr>
          <w:rFonts w:asciiTheme="majorBidi" w:hAnsiTheme="majorBidi" w:cstheme="majorBidi"/>
          <w:b/>
          <w:bCs/>
          <w:sz w:val="23"/>
          <w:szCs w:val="23"/>
        </w:rPr>
        <w:t xml:space="preserve"> Kemer,</w:t>
      </w:r>
      <w:r w:rsidRPr="005A376B">
        <w:rPr>
          <w:rFonts w:asciiTheme="majorBidi" w:hAnsiTheme="majorBidi" w:cstheme="majorBidi"/>
          <w:b/>
          <w:bCs/>
          <w:sz w:val="16"/>
          <w:szCs w:val="16"/>
          <w:vertAlign w:val="superscript"/>
        </w:rPr>
        <w:t>1,3</w:t>
      </w:r>
      <w:r w:rsidRPr="005A376B">
        <w:rPr>
          <w:rFonts w:asciiTheme="majorBidi" w:hAnsiTheme="majorBidi" w:cstheme="majorBidi"/>
          <w:b/>
          <w:bCs/>
          <w:sz w:val="16"/>
          <w:szCs w:val="16"/>
        </w:rPr>
        <w:t xml:space="preserve"> </w:t>
      </w:r>
      <w:r w:rsidRPr="005A376B">
        <w:rPr>
          <w:rFonts w:asciiTheme="majorBidi" w:hAnsiTheme="majorBidi" w:cstheme="majorBidi"/>
          <w:b/>
          <w:bCs/>
          <w:sz w:val="23"/>
          <w:szCs w:val="23"/>
        </w:rPr>
        <w:t>Orit Stein,</w:t>
      </w:r>
      <w:r w:rsidRPr="005A376B">
        <w:rPr>
          <w:rFonts w:asciiTheme="majorBidi" w:hAnsiTheme="majorBidi" w:cstheme="majorBidi"/>
          <w:b/>
          <w:bCs/>
          <w:sz w:val="16"/>
          <w:szCs w:val="16"/>
          <w:vertAlign w:val="superscript"/>
        </w:rPr>
        <w:t>3</w:t>
      </w:r>
      <w:r w:rsidRPr="005A376B">
        <w:rPr>
          <w:rFonts w:asciiTheme="majorBidi" w:hAnsiTheme="majorBidi" w:cstheme="majorBidi"/>
          <w:b/>
          <w:bCs/>
          <w:sz w:val="16"/>
          <w:szCs w:val="16"/>
        </w:rPr>
        <w:t xml:space="preserve"> </w:t>
      </w:r>
      <w:r w:rsidRPr="005A376B">
        <w:rPr>
          <w:rFonts w:asciiTheme="majorBidi" w:hAnsiTheme="majorBidi" w:cstheme="majorBidi"/>
          <w:b/>
          <w:bCs/>
          <w:sz w:val="23"/>
          <w:szCs w:val="23"/>
        </w:rPr>
        <w:t xml:space="preserve">Yaron Dagan </w:t>
      </w:r>
      <w:r w:rsidRPr="005A376B">
        <w:rPr>
          <w:rFonts w:asciiTheme="majorBidi" w:hAnsiTheme="majorBidi" w:cstheme="majorBidi"/>
          <w:b/>
          <w:bCs/>
          <w:sz w:val="16"/>
          <w:szCs w:val="16"/>
          <w:vertAlign w:val="superscript"/>
        </w:rPr>
        <w:t>1,2,3</w:t>
      </w:r>
    </w:p>
    <w:p w14:paraId="161F7178" w14:textId="77777777" w:rsidR="000D1266" w:rsidRPr="005A376B" w:rsidRDefault="000D1266" w:rsidP="000D1266">
      <w:pPr>
        <w:bidi w:val="0"/>
        <w:jc w:val="center"/>
        <w:rPr>
          <w:rFonts w:asciiTheme="majorBidi" w:hAnsiTheme="majorBidi" w:cstheme="majorBidi"/>
          <w:b/>
          <w:bCs/>
          <w:i/>
          <w:iCs/>
          <w:sz w:val="24"/>
          <w:szCs w:val="24"/>
          <w:vertAlign w:val="superscript"/>
        </w:rPr>
      </w:pPr>
    </w:p>
    <w:p w14:paraId="12474B01" w14:textId="4DBBB7B7" w:rsidR="000D1266" w:rsidRPr="005A376B" w:rsidRDefault="000D1266" w:rsidP="000D1266">
      <w:pPr>
        <w:pStyle w:val="Default"/>
        <w:spacing w:line="276" w:lineRule="auto"/>
        <w:jc w:val="center"/>
        <w:rPr>
          <w:rFonts w:asciiTheme="majorBidi" w:hAnsiTheme="majorBidi" w:cstheme="majorBidi"/>
          <w:i/>
          <w:iCs/>
        </w:rPr>
      </w:pPr>
      <w:r w:rsidRPr="005A376B">
        <w:rPr>
          <w:rFonts w:asciiTheme="majorBidi" w:hAnsiTheme="majorBidi" w:cstheme="majorBidi"/>
          <w:i/>
          <w:iCs/>
        </w:rPr>
        <w:t xml:space="preserve">1 The Sleep and Fatigue Institute, </w:t>
      </w:r>
      <w:proofErr w:type="spellStart"/>
      <w:r w:rsidRPr="005A376B">
        <w:rPr>
          <w:rFonts w:asciiTheme="majorBidi" w:hAnsiTheme="majorBidi" w:cstheme="majorBidi"/>
          <w:i/>
          <w:iCs/>
        </w:rPr>
        <w:t>Assuta</w:t>
      </w:r>
      <w:proofErr w:type="spellEnd"/>
      <w:r w:rsidRPr="005A376B">
        <w:rPr>
          <w:rFonts w:asciiTheme="majorBidi" w:hAnsiTheme="majorBidi" w:cstheme="majorBidi"/>
          <w:i/>
          <w:iCs/>
        </w:rPr>
        <w:t xml:space="preserve"> Medical Center, 96 </w:t>
      </w:r>
      <w:proofErr w:type="spellStart"/>
      <w:r w:rsidRPr="005A376B">
        <w:rPr>
          <w:rFonts w:asciiTheme="majorBidi" w:hAnsiTheme="majorBidi" w:cstheme="majorBidi"/>
          <w:i/>
          <w:iCs/>
        </w:rPr>
        <w:t>Yigal</w:t>
      </w:r>
      <w:proofErr w:type="spellEnd"/>
      <w:r w:rsidRPr="005A376B">
        <w:rPr>
          <w:rFonts w:asciiTheme="majorBidi" w:hAnsiTheme="majorBidi" w:cstheme="majorBidi"/>
          <w:i/>
          <w:iCs/>
        </w:rPr>
        <w:t xml:space="preserve"> </w:t>
      </w:r>
      <w:proofErr w:type="spellStart"/>
      <w:r w:rsidRPr="005A376B">
        <w:rPr>
          <w:rFonts w:asciiTheme="majorBidi" w:hAnsiTheme="majorBidi" w:cstheme="majorBidi"/>
          <w:i/>
          <w:iCs/>
        </w:rPr>
        <w:t>Alon</w:t>
      </w:r>
      <w:proofErr w:type="spellEnd"/>
      <w:r w:rsidRPr="005A376B">
        <w:rPr>
          <w:rFonts w:asciiTheme="majorBidi" w:hAnsiTheme="majorBidi" w:cstheme="majorBidi"/>
          <w:i/>
          <w:iCs/>
        </w:rPr>
        <w:t xml:space="preserve"> Street, Tel Aviv 67891, Israel</w:t>
      </w:r>
    </w:p>
    <w:p w14:paraId="5415177D" w14:textId="3583B9AE" w:rsidR="000D1266" w:rsidRPr="005A376B" w:rsidRDefault="000D1266" w:rsidP="000D1266">
      <w:pPr>
        <w:pStyle w:val="Default"/>
        <w:spacing w:line="276" w:lineRule="auto"/>
        <w:jc w:val="center"/>
        <w:rPr>
          <w:rFonts w:asciiTheme="majorBidi" w:hAnsiTheme="majorBidi" w:cstheme="majorBidi"/>
          <w:i/>
          <w:iCs/>
        </w:rPr>
      </w:pPr>
      <w:r w:rsidRPr="005A376B">
        <w:rPr>
          <w:rFonts w:asciiTheme="majorBidi" w:hAnsiTheme="majorBidi" w:cstheme="majorBidi"/>
          <w:i/>
          <w:iCs/>
        </w:rPr>
        <w:t xml:space="preserve">2 The Research Institute of Applied Chronobiology, </w:t>
      </w:r>
      <w:proofErr w:type="gramStart"/>
      <w:r w:rsidRPr="005A376B">
        <w:rPr>
          <w:rFonts w:asciiTheme="majorBidi" w:hAnsiTheme="majorBidi" w:cstheme="majorBidi"/>
          <w:i/>
          <w:iCs/>
        </w:rPr>
        <w:t>The</w:t>
      </w:r>
      <w:proofErr w:type="gramEnd"/>
      <w:r w:rsidRPr="005A376B">
        <w:rPr>
          <w:rFonts w:asciiTheme="majorBidi" w:hAnsiTheme="majorBidi" w:cstheme="majorBidi"/>
          <w:i/>
          <w:iCs/>
        </w:rPr>
        <w:t xml:space="preserve"> Academic College of Tel-Hai, Tel Hai 1220800, Israel</w:t>
      </w:r>
    </w:p>
    <w:p w14:paraId="117BA348" w14:textId="197705A8" w:rsidR="000D1266" w:rsidRPr="005A376B" w:rsidRDefault="000D1266" w:rsidP="000D1266">
      <w:pPr>
        <w:pStyle w:val="Default"/>
        <w:spacing w:line="276" w:lineRule="auto"/>
        <w:jc w:val="center"/>
        <w:rPr>
          <w:rFonts w:asciiTheme="majorBidi" w:hAnsiTheme="majorBidi" w:cstheme="majorBidi"/>
          <w:i/>
          <w:iCs/>
          <w:sz w:val="23"/>
          <w:szCs w:val="23"/>
        </w:rPr>
      </w:pPr>
      <w:proofErr w:type="gramStart"/>
      <w:r w:rsidRPr="005A376B">
        <w:rPr>
          <w:rFonts w:asciiTheme="majorBidi" w:hAnsiTheme="majorBidi" w:cstheme="majorBidi"/>
          <w:i/>
          <w:iCs/>
          <w:color w:val="auto"/>
        </w:rPr>
        <w:t>3</w:t>
      </w:r>
      <w:proofErr w:type="gramEnd"/>
      <w:r w:rsidRPr="005A376B">
        <w:rPr>
          <w:rFonts w:asciiTheme="majorBidi" w:hAnsiTheme="majorBidi" w:cstheme="majorBidi"/>
          <w:i/>
          <w:iCs/>
          <w:color w:val="auto"/>
        </w:rPr>
        <w:t xml:space="preserve"> Maccabi Health Services, </w:t>
      </w:r>
      <w:proofErr w:type="spellStart"/>
      <w:r w:rsidRPr="005A376B">
        <w:rPr>
          <w:rFonts w:asciiTheme="majorBidi" w:hAnsiTheme="majorBidi" w:cstheme="majorBidi"/>
          <w:i/>
          <w:iCs/>
          <w:color w:val="auto"/>
        </w:rPr>
        <w:t>Hamered</w:t>
      </w:r>
      <w:proofErr w:type="spellEnd"/>
      <w:r w:rsidRPr="005A376B">
        <w:rPr>
          <w:rFonts w:asciiTheme="majorBidi" w:hAnsiTheme="majorBidi" w:cstheme="majorBidi"/>
          <w:i/>
          <w:iCs/>
          <w:color w:val="auto"/>
        </w:rPr>
        <w:t xml:space="preserve"> 27 street, Tel Aviv, Israel</w:t>
      </w:r>
    </w:p>
    <w:p w14:paraId="02A1E380" w14:textId="77777777" w:rsidR="001B5470" w:rsidRPr="005A376B" w:rsidRDefault="001B5470" w:rsidP="000D1266">
      <w:pPr>
        <w:pStyle w:val="Default"/>
        <w:spacing w:line="360" w:lineRule="auto"/>
        <w:jc w:val="both"/>
        <w:rPr>
          <w:rFonts w:asciiTheme="majorBidi" w:hAnsiTheme="majorBidi" w:cstheme="majorBidi"/>
          <w:b/>
          <w:bCs/>
          <w:sz w:val="23"/>
          <w:szCs w:val="23"/>
        </w:rPr>
      </w:pPr>
    </w:p>
    <w:p w14:paraId="25C7EA83" w14:textId="77777777" w:rsidR="001B5470" w:rsidRPr="005A376B" w:rsidRDefault="001B5470" w:rsidP="000D1266">
      <w:pPr>
        <w:pStyle w:val="Default"/>
        <w:spacing w:line="360" w:lineRule="auto"/>
        <w:jc w:val="both"/>
        <w:rPr>
          <w:rFonts w:asciiTheme="majorBidi" w:hAnsiTheme="majorBidi" w:cstheme="majorBidi"/>
          <w:b/>
          <w:bCs/>
          <w:sz w:val="23"/>
          <w:szCs w:val="23"/>
        </w:rPr>
      </w:pPr>
    </w:p>
    <w:p w14:paraId="3E85E3FD" w14:textId="08924215" w:rsidR="000D1266" w:rsidRDefault="000D1266" w:rsidP="000D1266">
      <w:pPr>
        <w:pStyle w:val="Default"/>
        <w:spacing w:line="360" w:lineRule="auto"/>
        <w:jc w:val="both"/>
        <w:rPr>
          <w:rFonts w:asciiTheme="majorBidi" w:hAnsiTheme="majorBidi" w:cstheme="majorBidi"/>
          <w:sz w:val="23"/>
          <w:szCs w:val="23"/>
        </w:rPr>
      </w:pPr>
      <w:r w:rsidRPr="005A376B">
        <w:rPr>
          <w:rFonts w:asciiTheme="majorBidi" w:hAnsiTheme="majorBidi" w:cstheme="majorBidi"/>
          <w:b/>
          <w:bCs/>
          <w:sz w:val="23"/>
          <w:szCs w:val="23"/>
        </w:rPr>
        <w:t xml:space="preserve">Abstract </w:t>
      </w:r>
    </w:p>
    <w:p w14:paraId="6DFDD1AE" w14:textId="77777777" w:rsidR="005A376B" w:rsidRPr="005A376B" w:rsidRDefault="005A376B" w:rsidP="000D1266">
      <w:pPr>
        <w:pStyle w:val="Default"/>
        <w:spacing w:line="360" w:lineRule="auto"/>
        <w:jc w:val="both"/>
        <w:rPr>
          <w:rFonts w:asciiTheme="majorBidi" w:hAnsiTheme="majorBidi" w:cstheme="majorBidi"/>
          <w:sz w:val="23"/>
          <w:szCs w:val="23"/>
        </w:rPr>
      </w:pPr>
      <w:bookmarkStart w:id="0" w:name="_GoBack"/>
      <w:bookmarkEnd w:id="0"/>
    </w:p>
    <w:p w14:paraId="28F149AA" w14:textId="31882B2A" w:rsidR="000D1266" w:rsidRPr="005A376B" w:rsidRDefault="000D1266" w:rsidP="000D1266">
      <w:pPr>
        <w:bidi w:val="0"/>
        <w:spacing w:line="360" w:lineRule="auto"/>
        <w:jc w:val="both"/>
        <w:rPr>
          <w:rFonts w:asciiTheme="majorBidi" w:hAnsiTheme="majorBidi" w:cstheme="majorBidi"/>
          <w:b/>
          <w:bCs/>
          <w:sz w:val="24"/>
          <w:szCs w:val="24"/>
        </w:rPr>
      </w:pPr>
      <w:r w:rsidRPr="005A376B">
        <w:rPr>
          <w:rFonts w:asciiTheme="majorBidi" w:hAnsiTheme="majorBidi" w:cstheme="majorBidi"/>
          <w:sz w:val="23"/>
          <w:szCs w:val="23"/>
        </w:rPr>
        <w:t xml:space="preserve">Insomnia is a common sleep disorder with a prevalence of 10-15% in the population. It can have adverse consequences on emotional, mental, and general health of patients. The primary aim of our study is to assess the development of tolerance to chronic hypnotic administration in patients with insomnia. An additional aim is to describe the prevalence of hypnotic treatment among patients with insomnia. This is a retrospective study including all members of Maccabi Health Services above the age of 18 years (N=1.6 million), of data collected between 2011 and 2014. An occasional user </w:t>
      </w:r>
      <w:proofErr w:type="gramStart"/>
      <w:r w:rsidRPr="005A376B">
        <w:rPr>
          <w:rFonts w:asciiTheme="majorBidi" w:hAnsiTheme="majorBidi" w:cstheme="majorBidi"/>
          <w:sz w:val="23"/>
          <w:szCs w:val="23"/>
        </w:rPr>
        <w:t>was defined</w:t>
      </w:r>
      <w:proofErr w:type="gramEnd"/>
      <w:r w:rsidRPr="005A376B">
        <w:rPr>
          <w:rFonts w:asciiTheme="majorBidi" w:hAnsiTheme="majorBidi" w:cstheme="majorBidi"/>
          <w:sz w:val="23"/>
          <w:szCs w:val="23"/>
        </w:rPr>
        <w:t xml:space="preserve"> as a person who purchased fewer than 180 sleeping pills per year, while a chronic user was defined as a person who purchased 180 and more sleeping pills per year. Only 20% of the insomnia patients treated with hypnotics (n=122,500) were chronic users. Between 2011 and 2014, we observed a constant increase of 2.5% per year in the number of chronic users. However, 11% of occasional users become chronic users, while 4% of the chronic users become occasional users. The number of hypnotics taken by chronic users was not different between the genders or between types of hypnotics (</w:t>
      </w:r>
      <w:proofErr w:type="spellStart"/>
      <w:r w:rsidRPr="005A376B">
        <w:rPr>
          <w:rFonts w:asciiTheme="majorBidi" w:hAnsiTheme="majorBidi" w:cstheme="majorBidi"/>
          <w:sz w:val="23"/>
          <w:szCs w:val="23"/>
        </w:rPr>
        <w:t>benzodiapines</w:t>
      </w:r>
      <w:proofErr w:type="spellEnd"/>
      <w:r w:rsidRPr="005A376B">
        <w:rPr>
          <w:rFonts w:asciiTheme="majorBidi" w:hAnsiTheme="majorBidi" w:cstheme="majorBidi"/>
          <w:sz w:val="23"/>
          <w:szCs w:val="23"/>
        </w:rPr>
        <w:t xml:space="preserve"> vs. Z-drugs). A positive correlation was found between age and number of hypnotics among chronic users. The majority of the long-term chronic patients either did not change or decreased the number of sleeping pills they consumed. Our results suggest that chronic insomnia patients do not develop tolerance to treatment with hypnotics.</w:t>
      </w:r>
    </w:p>
    <w:sectPr w:rsidR="000D1266" w:rsidRPr="005A376B" w:rsidSect="007D048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B52"/>
    <w:rsid w:val="000149A5"/>
    <w:rsid w:val="000643A7"/>
    <w:rsid w:val="000D1266"/>
    <w:rsid w:val="001260CD"/>
    <w:rsid w:val="00175B52"/>
    <w:rsid w:val="001B5470"/>
    <w:rsid w:val="00207339"/>
    <w:rsid w:val="002C539B"/>
    <w:rsid w:val="003A6DD7"/>
    <w:rsid w:val="003F4178"/>
    <w:rsid w:val="00550742"/>
    <w:rsid w:val="005A376B"/>
    <w:rsid w:val="00796CB2"/>
    <w:rsid w:val="007D048B"/>
    <w:rsid w:val="00897EDC"/>
    <w:rsid w:val="009441CE"/>
    <w:rsid w:val="009773D9"/>
    <w:rsid w:val="00977563"/>
    <w:rsid w:val="00BE502D"/>
    <w:rsid w:val="00CF7EE3"/>
    <w:rsid w:val="00D372F4"/>
    <w:rsid w:val="00E818C7"/>
    <w:rsid w:val="00F3408B"/>
    <w:rsid w:val="00FA1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E6DB1"/>
  <w15:chartTrackingRefBased/>
  <w15:docId w15:val="{38998B76-9574-4FC9-B469-ABD2EBE58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539B"/>
    <w:pPr>
      <w:spacing w:after="0" w:line="240" w:lineRule="auto"/>
    </w:pPr>
    <w:rPr>
      <w:rFonts w:ascii="Segoe UI" w:hAnsi="Segoe UI" w:cs="Segoe UI"/>
      <w:sz w:val="18"/>
      <w:szCs w:val="18"/>
    </w:rPr>
  </w:style>
  <w:style w:type="character" w:customStyle="1" w:styleId="a4">
    <w:name w:val="טקסט בלונים תו"/>
    <w:basedOn w:val="a0"/>
    <w:link w:val="a3"/>
    <w:uiPriority w:val="99"/>
    <w:semiHidden/>
    <w:rsid w:val="002C539B"/>
    <w:rPr>
      <w:rFonts w:ascii="Segoe UI" w:hAnsi="Segoe UI" w:cs="Segoe UI"/>
      <w:sz w:val="18"/>
      <w:szCs w:val="18"/>
    </w:rPr>
  </w:style>
  <w:style w:type="character" w:styleId="a5">
    <w:name w:val="annotation reference"/>
    <w:basedOn w:val="a0"/>
    <w:uiPriority w:val="99"/>
    <w:semiHidden/>
    <w:unhideWhenUsed/>
    <w:rsid w:val="002C539B"/>
    <w:rPr>
      <w:sz w:val="16"/>
      <w:szCs w:val="16"/>
    </w:rPr>
  </w:style>
  <w:style w:type="paragraph" w:styleId="a6">
    <w:name w:val="annotation text"/>
    <w:basedOn w:val="a"/>
    <w:link w:val="a7"/>
    <w:uiPriority w:val="99"/>
    <w:semiHidden/>
    <w:unhideWhenUsed/>
    <w:rsid w:val="002C539B"/>
    <w:pPr>
      <w:spacing w:line="240" w:lineRule="auto"/>
    </w:pPr>
    <w:rPr>
      <w:sz w:val="20"/>
      <w:szCs w:val="20"/>
    </w:rPr>
  </w:style>
  <w:style w:type="character" w:customStyle="1" w:styleId="a7">
    <w:name w:val="טקסט הערה תו"/>
    <w:basedOn w:val="a0"/>
    <w:link w:val="a6"/>
    <w:uiPriority w:val="99"/>
    <w:semiHidden/>
    <w:rsid w:val="002C539B"/>
    <w:rPr>
      <w:sz w:val="20"/>
      <w:szCs w:val="20"/>
    </w:rPr>
  </w:style>
  <w:style w:type="paragraph" w:styleId="a8">
    <w:name w:val="annotation subject"/>
    <w:basedOn w:val="a6"/>
    <w:next w:val="a6"/>
    <w:link w:val="a9"/>
    <w:uiPriority w:val="99"/>
    <w:semiHidden/>
    <w:unhideWhenUsed/>
    <w:rsid w:val="002C539B"/>
    <w:rPr>
      <w:b/>
      <w:bCs/>
    </w:rPr>
  </w:style>
  <w:style w:type="character" w:customStyle="1" w:styleId="a9">
    <w:name w:val="נושא הערה תו"/>
    <w:basedOn w:val="a7"/>
    <w:link w:val="a8"/>
    <w:uiPriority w:val="99"/>
    <w:semiHidden/>
    <w:rsid w:val="002C539B"/>
    <w:rPr>
      <w:b/>
      <w:bCs/>
      <w:sz w:val="20"/>
      <w:szCs w:val="20"/>
    </w:rPr>
  </w:style>
  <w:style w:type="character" w:styleId="aa">
    <w:name w:val="Strong"/>
    <w:basedOn w:val="a0"/>
    <w:uiPriority w:val="22"/>
    <w:qFormat/>
    <w:rsid w:val="00D372F4"/>
    <w:rPr>
      <w:b/>
      <w:bCs/>
    </w:rPr>
  </w:style>
  <w:style w:type="paragraph" w:styleId="ab">
    <w:name w:val="List Paragraph"/>
    <w:basedOn w:val="a"/>
    <w:uiPriority w:val="34"/>
    <w:qFormat/>
    <w:rsid w:val="00D372F4"/>
    <w:pPr>
      <w:ind w:left="720"/>
      <w:contextualSpacing/>
    </w:pPr>
  </w:style>
  <w:style w:type="paragraph" w:customStyle="1" w:styleId="Default">
    <w:name w:val="Default"/>
    <w:rsid w:val="000D126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324</Words>
  <Characters>1625</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עמית שי גרין</dc:creator>
  <cp:lastModifiedBy>עמית שי גרין</cp:lastModifiedBy>
  <cp:revision>3</cp:revision>
  <cp:lastPrinted>2019-03-17T11:53:00Z</cp:lastPrinted>
  <dcterms:created xsi:type="dcterms:W3CDTF">2019-03-17T12:39:00Z</dcterms:created>
  <dcterms:modified xsi:type="dcterms:W3CDTF">2019-03-17T12:40:00Z</dcterms:modified>
</cp:coreProperties>
</file>