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A750F" w14:textId="77777777" w:rsidR="00A77CEE" w:rsidRPr="00A77CEE" w:rsidRDefault="00A77CEE" w:rsidP="00A77CEE">
      <w:pPr>
        <w:autoSpaceDE w:val="0"/>
        <w:autoSpaceDN w:val="0"/>
        <w:adjustRightInd w:val="0"/>
        <w:spacing w:after="0" w:line="240" w:lineRule="auto"/>
        <w:rPr>
          <w:rFonts w:ascii="Arial" w:hAnsi="Arial" w:cs="Arial"/>
          <w:b/>
          <w:bCs/>
          <w:iCs/>
        </w:rPr>
      </w:pPr>
      <w:r w:rsidRPr="00A77CEE">
        <w:rPr>
          <w:rFonts w:ascii="Arial" w:hAnsi="Arial" w:cs="Arial"/>
          <w:b/>
          <w:bCs/>
          <w:iCs/>
        </w:rPr>
        <w:t>Pandemic-futureproofing clinical trials: lessons learnt from London</w:t>
      </w:r>
    </w:p>
    <w:p w14:paraId="4874043D" w14:textId="7F0D6337" w:rsidR="0042083A" w:rsidRDefault="00A77CEE">
      <w:r>
        <w:t>Taubel J</w:t>
      </w:r>
      <w:r w:rsidRPr="00A77CEE">
        <w:rPr>
          <w:vertAlign w:val="superscript"/>
        </w:rPr>
        <w:t>123</w:t>
      </w:r>
      <w:r>
        <w:t>, Berelowitz K</w:t>
      </w:r>
      <w:r w:rsidRPr="00A77CEE">
        <w:rPr>
          <w:vertAlign w:val="superscript"/>
        </w:rPr>
        <w:t>1</w:t>
      </w:r>
      <w:r>
        <w:t>, Pimenta D</w:t>
      </w:r>
      <w:r w:rsidRPr="00A77CEE">
        <w:rPr>
          <w:vertAlign w:val="superscript"/>
        </w:rPr>
        <w:t>2</w:t>
      </w:r>
      <w:r>
        <w:t>, Lorch U</w:t>
      </w:r>
      <w:r w:rsidRPr="00A77CEE">
        <w:rPr>
          <w:vertAlign w:val="superscript"/>
        </w:rPr>
        <w:t>1</w:t>
      </w:r>
      <w:r>
        <w:rPr>
          <w:vertAlign w:val="superscript"/>
        </w:rPr>
        <w:t>2</w:t>
      </w:r>
    </w:p>
    <w:p w14:paraId="05C01111" w14:textId="1B368238" w:rsidR="00A77CEE" w:rsidRDefault="00A77CEE" w:rsidP="00A77CEE">
      <w:pPr>
        <w:pStyle w:val="ListParagraph"/>
        <w:numPr>
          <w:ilvl w:val="0"/>
          <w:numId w:val="1"/>
        </w:numPr>
      </w:pPr>
      <w:r>
        <w:t>Richmond Pharmacology, London</w:t>
      </w:r>
    </w:p>
    <w:p w14:paraId="66FACFEA" w14:textId="03BB5169" w:rsidR="00A77CEE" w:rsidRDefault="00A77CEE" w:rsidP="00A77CEE">
      <w:pPr>
        <w:pStyle w:val="ListParagraph"/>
        <w:numPr>
          <w:ilvl w:val="0"/>
          <w:numId w:val="1"/>
        </w:numPr>
      </w:pPr>
      <w:r>
        <w:t>Richmond Research Institute, London</w:t>
      </w:r>
    </w:p>
    <w:p w14:paraId="442EEB3B" w14:textId="3FA41E8E" w:rsidR="00A77CEE" w:rsidRDefault="00A77CEE" w:rsidP="00A77CEE">
      <w:pPr>
        <w:pStyle w:val="ListParagraph"/>
        <w:numPr>
          <w:ilvl w:val="0"/>
          <w:numId w:val="1"/>
        </w:numPr>
      </w:pPr>
      <w:r>
        <w:t>St. George’s University, London</w:t>
      </w:r>
    </w:p>
    <w:p w14:paraId="163504E1" w14:textId="2878804B" w:rsidR="00A77CEE" w:rsidRDefault="00A77CEE" w:rsidP="00A77CEE"/>
    <w:p w14:paraId="23AC5507" w14:textId="77777777" w:rsidR="00060038" w:rsidRPr="00060038" w:rsidRDefault="00060038" w:rsidP="00060038">
      <w:pPr>
        <w:spacing w:after="0" w:line="240" w:lineRule="auto"/>
        <w:rPr>
          <w:rFonts w:ascii="Times New Roman" w:eastAsia="Times New Roman" w:hAnsi="Times New Roman" w:cs="Times New Roman"/>
          <w:b/>
          <w:bCs/>
          <w:sz w:val="24"/>
          <w:szCs w:val="24"/>
          <w:lang w:val="en-GB" w:eastAsia="en-GB"/>
        </w:rPr>
      </w:pPr>
      <w:r w:rsidRPr="00060038">
        <w:rPr>
          <w:rFonts w:ascii="Times New Roman" w:eastAsia="Times New Roman" w:hAnsi="Times New Roman" w:cs="Times New Roman"/>
          <w:b/>
          <w:bCs/>
          <w:sz w:val="24"/>
          <w:szCs w:val="24"/>
          <w:lang w:val="en-GB" w:eastAsia="en-GB"/>
        </w:rPr>
        <w:t xml:space="preserve">Abstract: </w:t>
      </w:r>
    </w:p>
    <w:p w14:paraId="1443D778" w14:textId="1C2FEF71"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Statement of the Problem:</w:t>
      </w:r>
    </w:p>
    <w:p w14:paraId="21E4816A" w14:textId="61E99664" w:rsidR="00060038" w:rsidRDefault="00060038" w:rsidP="00060038">
      <w:r>
        <w:t xml:space="preserve">In 2020 non-COVID UK research was substantially reduced. The number of trials dropped 26% in Q1/Q2 of 2020 vs 2019 </w:t>
      </w:r>
      <w:r w:rsidR="00E814DA">
        <w:fldChar w:fldCharType="begin"/>
      </w:r>
      <w:r w:rsidR="00E814DA">
        <w:instrText xml:space="preserve"> ADDIN ZOTERO_ITEM CSL_CITATION {"citationID":"81yAcy9y","properties":{"formattedCitation":"[1]","plainCitation":"[1]","noteIndex":0},"citationItems":[{"id":345,"uris":["http://zotero.org/users/6909058/items/NYTP9C22"],"itemData":{"id":345,"type":"webpage","title":"Annual Statistics | NIHR","URL":"https://www.nihr.ac.uk/about-us/who-we-are/our-research-performance/annual-statistics.htm","accessed":{"date-parts":[["2022",6,16]]}}}],"schema":"https://github.com/citation-style-language/schema/raw/master/csl-citation.json"} </w:instrText>
      </w:r>
      <w:r w:rsidR="00E814DA">
        <w:fldChar w:fldCharType="separate"/>
      </w:r>
      <w:r w:rsidR="00E814DA">
        <w:rPr>
          <w:noProof/>
        </w:rPr>
        <w:t>[1]</w:t>
      </w:r>
      <w:r w:rsidR="00E814DA">
        <w:fldChar w:fldCharType="end"/>
      </w:r>
      <w:r>
        <w:t xml:space="preserve">and there were approx. 480,000 participants in non-covid research in 2020 vs 732,716 in 2019. </w:t>
      </w:r>
    </w:p>
    <w:p w14:paraId="56457F1F" w14:textId="0999B26A" w:rsidR="00060038" w:rsidRDefault="00060038" w:rsidP="00060038">
      <w:r>
        <w:t>The pandemic in the UK had one of the highest infections per capita in Europe in three discrete ‘waves’ (March-May 2020, Nov 2020-Feb 2020, July 2021).</w:t>
      </w:r>
      <w:r w:rsidR="00E814DA">
        <w:fldChar w:fldCharType="begin"/>
      </w:r>
      <w:r w:rsidR="00E814DA">
        <w:instrText xml:space="preserve"> ADDIN ZOTERO_ITEM CSL_CITATION {"citationID":"RNxO9fZC","properties":{"formattedCitation":"[2]","plainCitation":"[2]","noteIndex":0},"citationItems":[{"id":347,"uris":["http://zotero.org/users/6909058/items/EYAPJ9QS"],"itemData":{"id":347,"type":"webpage","abstract":"Shown is the rolling 7-day average, by the date a positive specimen is taken; not the date that a case is reported. This leg in processing means the latest data shown is several days behind the current date.\n\nThe number of confirmed cases is lower than the number of actual cases; the main reason for that is limited testing.","container-title":"Our World in Data","title":"UK: Daily new confirmed COVID-19 cases per 100,000","title-short":"UK","URL":"https://ourworldindata.org/grapher/uk-daily-covid-cases-7day-average","accessed":{"date-parts":[["2022",6,16]]}}}],"schema":"https://github.com/citation-style-language/schema/raw/master/csl-citation.json"} </w:instrText>
      </w:r>
      <w:r w:rsidR="00E814DA">
        <w:fldChar w:fldCharType="separate"/>
      </w:r>
      <w:r w:rsidR="00E814DA">
        <w:rPr>
          <w:noProof/>
        </w:rPr>
        <w:t>[2]</w:t>
      </w:r>
      <w:r w:rsidR="00E814DA">
        <w:fldChar w:fldCharType="end"/>
      </w:r>
    </w:p>
    <w:p w14:paraId="7601766C" w14:textId="77777777" w:rsidR="00060038" w:rsidRPr="00060038" w:rsidRDefault="00060038" w:rsidP="00060038">
      <w:pPr>
        <w:spacing w:after="0" w:line="240" w:lineRule="auto"/>
        <w:rPr>
          <w:rFonts w:ascii="Times New Roman" w:eastAsia="Times New Roman" w:hAnsi="Times New Roman" w:cs="Times New Roman"/>
          <w:sz w:val="24"/>
          <w:szCs w:val="24"/>
          <w:lang w:val="en-GB" w:eastAsia="en-GB"/>
        </w:rPr>
      </w:pPr>
    </w:p>
    <w:p w14:paraId="148D8904" w14:textId="24503783"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Methodology and Theoretical Orientation:</w:t>
      </w:r>
    </w:p>
    <w:p w14:paraId="1A0FA7FE" w14:textId="77777777" w:rsidR="00060038" w:rsidRDefault="00060038" w:rsidP="00060038">
      <w:r>
        <w:t>We present the experience of a clinical research organization in London at the epicenter of the first wave. Richmond Pharmacology (RPL) conducts clinical research in both healthy and patient volunteers, including COVID vulnerable conditions such as cardiac amyloidosis, type II diabetes and Wilsons’ disease. Early on a bespoke infection control guideline was established and adapted throughout the pandemic as required. This guideline has included on-site 30-minute turnaround PCR capability, strict entry protocol, HEPA filtration, mandatory N95 masks, social distancing, electronic contact tracing, vaccination and antibody testing.  We also instituted an internal trial methodology collecting all data to constantly inform management decisions.</w:t>
      </w:r>
    </w:p>
    <w:p w14:paraId="346E7070" w14:textId="77777777" w:rsidR="00060038" w:rsidRPr="00060038" w:rsidRDefault="00060038" w:rsidP="00060038">
      <w:pPr>
        <w:spacing w:after="0" w:line="240" w:lineRule="auto"/>
        <w:rPr>
          <w:rFonts w:ascii="Times New Roman" w:eastAsia="Times New Roman" w:hAnsi="Times New Roman" w:cs="Times New Roman"/>
          <w:sz w:val="24"/>
          <w:szCs w:val="24"/>
          <w:lang w:val="en-GB" w:eastAsia="en-GB"/>
        </w:rPr>
      </w:pPr>
    </w:p>
    <w:p w14:paraId="01C3CA8E" w14:textId="6BA0779C"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Findings:</w:t>
      </w:r>
    </w:p>
    <w:p w14:paraId="1DF3E3EB" w14:textId="77777777" w:rsidR="00060038" w:rsidRDefault="00060038" w:rsidP="00060038">
      <w:r>
        <w:t xml:space="preserve">RPL consistently reported positivity rates well below the national estimate (ONS data). Between March 2020 and Sept 2021 there were 69 community-acquired infections amongst volunteers and visitors, 90 PCR-positive infections amongst approx. 300 staff, significantly with zero documented cases of internal transmission. </w:t>
      </w:r>
    </w:p>
    <w:p w14:paraId="0619919D" w14:textId="77777777" w:rsidR="00060038" w:rsidRPr="00060038" w:rsidRDefault="00060038" w:rsidP="00060038">
      <w:pPr>
        <w:spacing w:after="0" w:line="240" w:lineRule="auto"/>
        <w:rPr>
          <w:rFonts w:ascii="Times New Roman" w:eastAsia="Times New Roman" w:hAnsi="Times New Roman" w:cs="Times New Roman"/>
          <w:sz w:val="24"/>
          <w:szCs w:val="24"/>
          <w:lang w:val="en-GB" w:eastAsia="en-GB"/>
        </w:rPr>
      </w:pPr>
    </w:p>
    <w:p w14:paraId="1C9F9475" w14:textId="2546B374"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Conclusion &amp; Significance:</w:t>
      </w:r>
    </w:p>
    <w:p w14:paraId="2CEF713A" w14:textId="77777777" w:rsidR="00060038" w:rsidRDefault="00060038" w:rsidP="00060038">
      <w:r>
        <w:t xml:space="preserve">As a result, after the first wave we were able to continue normal clinical trial activity performing 29 early and late phase clinical trials enrolling 1225 volunteers (319 patients, 906 healthy volunteers) dosed between June 2020 and Oct 2021, with bed occupancy in the second wave comparable to pre-pandemic levels. </w:t>
      </w:r>
    </w:p>
    <w:p w14:paraId="78D79702" w14:textId="77777777" w:rsidR="00060038" w:rsidRDefault="00060038" w:rsidP="00060038">
      <w:r>
        <w:t xml:space="preserve">We present a gold-standard model of pandemic interventions to mitigate risk in an environment of high virus prevalence and a benchmark for continuing drug development in healthy and patient populations in anticipated future crises. </w:t>
      </w:r>
    </w:p>
    <w:p w14:paraId="245F2EAD" w14:textId="77777777" w:rsidR="00060038" w:rsidRPr="00060038" w:rsidRDefault="00060038" w:rsidP="00060038">
      <w:pPr>
        <w:spacing w:after="0" w:line="240" w:lineRule="auto"/>
        <w:rPr>
          <w:rFonts w:ascii="Times New Roman" w:eastAsia="Times New Roman" w:hAnsi="Times New Roman" w:cs="Times New Roman"/>
          <w:sz w:val="24"/>
          <w:szCs w:val="24"/>
          <w:lang w:val="en-GB" w:eastAsia="en-GB"/>
        </w:rPr>
      </w:pPr>
    </w:p>
    <w:p w14:paraId="3966E86A" w14:textId="77777777" w:rsidR="00E4446B" w:rsidRPr="00E4446B" w:rsidRDefault="00060038" w:rsidP="00E4446B">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lastRenderedPageBreak/>
        <w:t>Biography</w:t>
      </w:r>
      <w:r w:rsidR="008D5057">
        <w:rPr>
          <w:rFonts w:ascii="Times New Roman" w:eastAsia="Times New Roman" w:hAnsi="Times New Roman" w:cs="Times New Roman"/>
          <w:sz w:val="24"/>
          <w:szCs w:val="24"/>
          <w:lang w:val="en-GB" w:eastAsia="en-GB"/>
        </w:rPr>
        <w:br/>
      </w:r>
      <w:r w:rsidR="00E4446B" w:rsidRPr="00E4446B">
        <w:rPr>
          <w:rFonts w:ascii="Times New Roman" w:eastAsia="Times New Roman" w:hAnsi="Times New Roman" w:cs="Times New Roman"/>
          <w:sz w:val="24"/>
          <w:szCs w:val="24"/>
          <w:lang w:val="en-GB" w:eastAsia="en-GB"/>
        </w:rPr>
        <w:t>Dr Jorg Taubel is medical practitioner and CEO of Richmond Pharmacology, a centre of excellence for experimental medicine studies, which he co-founded in 2001. A specialist in clinical pharmacology, Dr Taubel has extensive experience in cardiology, neurology, gastroenterology, and ethnic bridging studies. He was Principal Investigator in over 500 clinical trials in Phases 1 – 3. He is an MHRA recognised investigator for First in Human trials involving healthy and/or patient participants.</w:t>
      </w:r>
    </w:p>
    <w:p w14:paraId="3BEF0A3B" w14:textId="77777777" w:rsidR="00E4446B" w:rsidRPr="00E4446B" w:rsidRDefault="00E4446B" w:rsidP="00E4446B">
      <w:pPr>
        <w:spacing w:after="0" w:line="240" w:lineRule="auto"/>
        <w:rPr>
          <w:rFonts w:ascii="Times New Roman" w:eastAsia="Times New Roman" w:hAnsi="Times New Roman" w:cs="Times New Roman"/>
          <w:sz w:val="24"/>
          <w:szCs w:val="24"/>
          <w:lang w:val="en-GB" w:eastAsia="en-GB"/>
        </w:rPr>
      </w:pPr>
    </w:p>
    <w:p w14:paraId="5C6841D0" w14:textId="77777777" w:rsidR="00E4446B" w:rsidRPr="00E4446B" w:rsidRDefault="00E4446B" w:rsidP="00E4446B">
      <w:pPr>
        <w:spacing w:after="0" w:line="240" w:lineRule="auto"/>
        <w:rPr>
          <w:rFonts w:ascii="Times New Roman" w:eastAsia="Times New Roman" w:hAnsi="Times New Roman" w:cs="Times New Roman"/>
          <w:sz w:val="24"/>
          <w:szCs w:val="24"/>
          <w:lang w:val="en-GB" w:eastAsia="en-GB"/>
        </w:rPr>
      </w:pPr>
      <w:r w:rsidRPr="00E4446B">
        <w:rPr>
          <w:rFonts w:ascii="Times New Roman" w:eastAsia="Times New Roman" w:hAnsi="Times New Roman" w:cs="Times New Roman"/>
          <w:sz w:val="24"/>
          <w:szCs w:val="24"/>
          <w:lang w:val="en-GB" w:eastAsia="en-GB"/>
        </w:rPr>
        <w:t>Most recently Dr Taubel has dosed the first patient in the pioneering global FIH study of NTLA-2001, the first CRISPR-Cas9 in vivo gene editing for transthyretin (TTR) amyloidosis. Working in close collaboration with Professor Julian Gillmore at Royal Free Hospital, Dr Taubel has enrolled the largest cohort of ATTR heart failure patients in five clinical studies.</w:t>
      </w:r>
    </w:p>
    <w:p w14:paraId="26B1B43C" w14:textId="77777777" w:rsidR="00E4446B" w:rsidRPr="00E4446B" w:rsidRDefault="00E4446B" w:rsidP="00E4446B">
      <w:pPr>
        <w:spacing w:after="0" w:line="240" w:lineRule="auto"/>
        <w:rPr>
          <w:rFonts w:ascii="Times New Roman" w:eastAsia="Times New Roman" w:hAnsi="Times New Roman" w:cs="Times New Roman"/>
          <w:sz w:val="24"/>
          <w:szCs w:val="24"/>
          <w:lang w:val="en-GB" w:eastAsia="en-GB"/>
        </w:rPr>
      </w:pPr>
    </w:p>
    <w:p w14:paraId="3310E236" w14:textId="18826DC8" w:rsidR="00060038" w:rsidRDefault="00E4446B" w:rsidP="00E4446B">
      <w:pPr>
        <w:spacing w:after="0" w:line="240" w:lineRule="auto"/>
        <w:rPr>
          <w:rFonts w:ascii="Times New Roman" w:eastAsia="Times New Roman" w:hAnsi="Times New Roman" w:cs="Times New Roman"/>
          <w:sz w:val="24"/>
          <w:szCs w:val="24"/>
          <w:lang w:val="en-GB" w:eastAsia="en-GB"/>
        </w:rPr>
      </w:pPr>
      <w:r w:rsidRPr="00E4446B">
        <w:rPr>
          <w:rFonts w:ascii="Times New Roman" w:eastAsia="Times New Roman" w:hAnsi="Times New Roman" w:cs="Times New Roman"/>
          <w:sz w:val="24"/>
          <w:szCs w:val="24"/>
          <w:lang w:val="en-GB" w:eastAsia="en-GB"/>
        </w:rPr>
        <w:t xml:space="preserve">Dr Taubel also established the Richmond Research Institute, a not-for-profit organisation dedicated to academic research to </w:t>
      </w:r>
      <w:r w:rsidR="00072724">
        <w:rPr>
          <w:rFonts w:ascii="Times New Roman" w:eastAsia="Times New Roman" w:hAnsi="Times New Roman" w:cs="Times New Roman"/>
          <w:sz w:val="24"/>
          <w:szCs w:val="24"/>
          <w:lang w:val="en-GB" w:eastAsia="en-GB"/>
        </w:rPr>
        <w:t>clinical trial optimisation</w:t>
      </w:r>
      <w:r w:rsidRPr="00E4446B">
        <w:rPr>
          <w:rFonts w:ascii="Times New Roman" w:eastAsia="Times New Roman" w:hAnsi="Times New Roman" w:cs="Times New Roman"/>
          <w:sz w:val="24"/>
          <w:szCs w:val="24"/>
          <w:lang w:val="en-GB" w:eastAsia="en-GB"/>
        </w:rPr>
        <w:t>.</w:t>
      </w:r>
    </w:p>
    <w:p w14:paraId="27A664EA" w14:textId="357A3A47" w:rsidR="008D5057" w:rsidRDefault="008D5057" w:rsidP="00060038">
      <w:pPr>
        <w:spacing w:after="0" w:line="240" w:lineRule="auto"/>
        <w:rPr>
          <w:rFonts w:ascii="Times New Roman" w:eastAsia="Times New Roman" w:hAnsi="Times New Roman" w:cs="Times New Roman"/>
          <w:sz w:val="24"/>
          <w:szCs w:val="24"/>
          <w:lang w:val="en-GB" w:eastAsia="en-GB"/>
        </w:rPr>
      </w:pPr>
    </w:p>
    <w:p w14:paraId="2D1A8465" w14:textId="77777777" w:rsidR="008D5057" w:rsidRPr="00060038" w:rsidRDefault="008D5057" w:rsidP="00060038">
      <w:pPr>
        <w:spacing w:after="0" w:line="240" w:lineRule="auto"/>
        <w:rPr>
          <w:rFonts w:ascii="Times New Roman" w:eastAsia="Times New Roman" w:hAnsi="Times New Roman" w:cs="Times New Roman"/>
          <w:sz w:val="24"/>
          <w:szCs w:val="24"/>
          <w:lang w:val="en-GB" w:eastAsia="en-GB"/>
        </w:rPr>
      </w:pPr>
    </w:p>
    <w:p w14:paraId="443072BC" w14:textId="3E6037B0"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About Research Topic</w:t>
      </w:r>
      <w:r w:rsidR="00E4446B">
        <w:rPr>
          <w:rFonts w:ascii="Times New Roman" w:eastAsia="Times New Roman" w:hAnsi="Times New Roman" w:cs="Times New Roman"/>
          <w:sz w:val="24"/>
          <w:szCs w:val="24"/>
          <w:lang w:val="en-GB" w:eastAsia="en-GB"/>
        </w:rPr>
        <w:t>:</w:t>
      </w:r>
    </w:p>
    <w:p w14:paraId="0C452B44" w14:textId="0B0EDEC8" w:rsidR="007E2492" w:rsidRDefault="007E2492" w:rsidP="00060038">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COVID-19 significantly disrupted life across the globe between March 2020 – present. Both the threat of the virus itself to vulnerable patients in trials and the physical restrictions of measures to control the virus, lead to significant disruption globally of healthcare and clinical trials. Pandemics are set to become a way of life in the globalized world of the 21</w:t>
      </w:r>
      <w:r w:rsidRPr="007E2492">
        <w:rPr>
          <w:rFonts w:ascii="Times New Roman" w:eastAsia="Times New Roman" w:hAnsi="Times New Roman" w:cs="Times New Roman"/>
          <w:sz w:val="24"/>
          <w:szCs w:val="24"/>
          <w:vertAlign w:val="superscript"/>
          <w:lang w:val="en-GB" w:eastAsia="en-GB"/>
        </w:rPr>
        <w:t>st</w:t>
      </w:r>
      <w:r>
        <w:rPr>
          <w:rFonts w:ascii="Times New Roman" w:eastAsia="Times New Roman" w:hAnsi="Times New Roman" w:cs="Times New Roman"/>
          <w:sz w:val="24"/>
          <w:szCs w:val="24"/>
          <w:lang w:val="en-GB" w:eastAsia="en-GB"/>
        </w:rPr>
        <w:t xml:space="preserve"> century – navigating each with maximum safety and operational efficiency will be the prevailing challenge for clinical trials units of the future. We must learn from this pandemic so we are all better prepared for the next one.</w:t>
      </w:r>
    </w:p>
    <w:p w14:paraId="01998F9D" w14:textId="7B272617" w:rsidR="00E4446B" w:rsidRDefault="00E4446B" w:rsidP="00060038">
      <w:pPr>
        <w:spacing w:after="0" w:line="240" w:lineRule="auto"/>
        <w:rPr>
          <w:rFonts w:ascii="Times New Roman" w:eastAsia="Times New Roman" w:hAnsi="Times New Roman" w:cs="Times New Roman"/>
          <w:sz w:val="24"/>
          <w:szCs w:val="24"/>
          <w:lang w:val="en-GB" w:eastAsia="en-GB"/>
        </w:rPr>
      </w:pPr>
    </w:p>
    <w:p w14:paraId="27ED3911" w14:textId="77777777" w:rsidR="00E4446B" w:rsidRPr="00060038" w:rsidRDefault="00E4446B" w:rsidP="00060038">
      <w:pPr>
        <w:spacing w:after="0" w:line="240" w:lineRule="auto"/>
        <w:rPr>
          <w:rFonts w:ascii="Times New Roman" w:eastAsia="Times New Roman" w:hAnsi="Times New Roman" w:cs="Times New Roman"/>
          <w:sz w:val="24"/>
          <w:szCs w:val="24"/>
          <w:lang w:val="en-GB" w:eastAsia="en-GB"/>
        </w:rPr>
      </w:pPr>
    </w:p>
    <w:p w14:paraId="7BC02BEB" w14:textId="52B3182B"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 xml:space="preserve">About Institution: </w:t>
      </w:r>
    </w:p>
    <w:p w14:paraId="3BB2FF0A" w14:textId="40686A8B" w:rsidR="00E4446B" w:rsidRDefault="00047905" w:rsidP="00060038">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Richmond Pharmacology is a full service CRO in the heart of London, and an accredited MHRA Phase 1 unit. Richmond Research Institute was founded to </w:t>
      </w:r>
      <w:r w:rsidR="005C1CB7">
        <w:rPr>
          <w:rFonts w:ascii="Times New Roman" w:eastAsia="Times New Roman" w:hAnsi="Times New Roman" w:cs="Times New Roman"/>
          <w:sz w:val="24"/>
          <w:szCs w:val="24"/>
          <w:lang w:val="en-GB" w:eastAsia="en-GB"/>
        </w:rPr>
        <w:t>undertake not-for-profit</w:t>
      </w:r>
      <w:r>
        <w:rPr>
          <w:rFonts w:ascii="Times New Roman" w:eastAsia="Times New Roman" w:hAnsi="Times New Roman" w:cs="Times New Roman"/>
          <w:sz w:val="24"/>
          <w:szCs w:val="24"/>
          <w:lang w:val="en-GB" w:eastAsia="en-GB"/>
        </w:rPr>
        <w:t xml:space="preserve"> academic </w:t>
      </w:r>
      <w:r w:rsidR="005C1CB7">
        <w:rPr>
          <w:rFonts w:ascii="Times New Roman" w:eastAsia="Times New Roman" w:hAnsi="Times New Roman" w:cs="Times New Roman"/>
          <w:sz w:val="24"/>
          <w:szCs w:val="24"/>
          <w:lang w:val="en-GB" w:eastAsia="en-GB"/>
        </w:rPr>
        <w:t>resear</w:t>
      </w:r>
      <w:r w:rsidR="0047783C">
        <w:rPr>
          <w:rFonts w:ascii="Times New Roman" w:eastAsia="Times New Roman" w:hAnsi="Times New Roman" w:cs="Times New Roman"/>
          <w:sz w:val="24"/>
          <w:szCs w:val="24"/>
          <w:lang w:val="en-GB" w:eastAsia="en-GB"/>
        </w:rPr>
        <w:t>ch</w:t>
      </w:r>
      <w:r>
        <w:rPr>
          <w:rFonts w:ascii="Times New Roman" w:eastAsia="Times New Roman" w:hAnsi="Times New Roman" w:cs="Times New Roman"/>
          <w:sz w:val="24"/>
          <w:szCs w:val="24"/>
          <w:lang w:val="en-GB" w:eastAsia="en-GB"/>
        </w:rPr>
        <w:t xml:space="preserve"> into clinical trial safety and optimisation, currently running controlled trials and cohort studies to better understand and support volunteers undergoing clinical trials.</w:t>
      </w:r>
    </w:p>
    <w:p w14:paraId="57BFFAF9" w14:textId="7B0C00F0" w:rsidR="00E4446B" w:rsidRDefault="00E4446B" w:rsidP="00060038">
      <w:pPr>
        <w:spacing w:after="0" w:line="240" w:lineRule="auto"/>
        <w:rPr>
          <w:rFonts w:ascii="Times New Roman" w:eastAsia="Times New Roman" w:hAnsi="Times New Roman" w:cs="Times New Roman"/>
          <w:sz w:val="24"/>
          <w:szCs w:val="24"/>
          <w:lang w:val="en-GB" w:eastAsia="en-GB"/>
        </w:rPr>
      </w:pPr>
    </w:p>
    <w:p w14:paraId="168CF944" w14:textId="77777777" w:rsidR="00E4446B" w:rsidRPr="00060038" w:rsidRDefault="00E4446B" w:rsidP="00060038">
      <w:pPr>
        <w:spacing w:after="0" w:line="240" w:lineRule="auto"/>
        <w:rPr>
          <w:rFonts w:ascii="Times New Roman" w:eastAsia="Times New Roman" w:hAnsi="Times New Roman" w:cs="Times New Roman"/>
          <w:sz w:val="24"/>
          <w:szCs w:val="24"/>
          <w:lang w:val="en-GB" w:eastAsia="en-GB"/>
        </w:rPr>
      </w:pPr>
    </w:p>
    <w:p w14:paraId="7EB2D3AC" w14:textId="034F73DC" w:rsidR="00060038" w:rsidRDefault="00060038" w:rsidP="00060038">
      <w:pPr>
        <w:spacing w:after="0" w:line="240" w:lineRule="auto"/>
        <w:rPr>
          <w:rFonts w:ascii="Times New Roman" w:eastAsia="Times New Roman" w:hAnsi="Times New Roman" w:cs="Times New Roman"/>
          <w:sz w:val="24"/>
          <w:szCs w:val="24"/>
          <w:lang w:val="en-GB" w:eastAsia="en-GB"/>
        </w:rPr>
      </w:pPr>
      <w:r w:rsidRPr="00060038">
        <w:rPr>
          <w:rFonts w:ascii="Times New Roman" w:eastAsia="Times New Roman" w:hAnsi="Times New Roman" w:cs="Times New Roman"/>
          <w:sz w:val="24"/>
          <w:szCs w:val="24"/>
          <w:lang w:val="en-GB" w:eastAsia="en-GB"/>
        </w:rPr>
        <w:t>References:</w:t>
      </w:r>
    </w:p>
    <w:p w14:paraId="14727974" w14:textId="77777777" w:rsidR="00E814DA" w:rsidRPr="00E814DA" w:rsidRDefault="00E814DA" w:rsidP="00E814DA">
      <w:pPr>
        <w:pStyle w:val="Bibliography"/>
        <w:rPr>
          <w:rFonts w:ascii="Calibri" w:cs="Calibri"/>
        </w:rPr>
      </w:pPr>
      <w:r>
        <w:fldChar w:fldCharType="begin"/>
      </w:r>
      <w:r>
        <w:instrText xml:space="preserve"> ADDIN ZOTERO_BIBL {"uncited":[],"omitted":[],"custom":[]} CSL_BIBLIOGRAPHY </w:instrText>
      </w:r>
      <w:r>
        <w:fldChar w:fldCharType="separate"/>
      </w:r>
      <w:r w:rsidRPr="00E814DA">
        <w:rPr>
          <w:rFonts w:ascii="Calibri" w:cs="Calibri"/>
        </w:rPr>
        <w:t xml:space="preserve">1 </w:t>
      </w:r>
      <w:r w:rsidRPr="00E814DA">
        <w:rPr>
          <w:rFonts w:ascii="Calibri" w:cs="Calibri"/>
        </w:rPr>
        <w:tab/>
        <w:t>Annual Statistics | NIHR. https://www.nihr.ac.uk/about-us/who-we-are/our-research-performance/annual-statistics.htm (accessed 16 Jun 2022).</w:t>
      </w:r>
    </w:p>
    <w:p w14:paraId="06AA09DF" w14:textId="77777777" w:rsidR="00E814DA" w:rsidRPr="00E814DA" w:rsidRDefault="00E814DA" w:rsidP="00E814DA">
      <w:pPr>
        <w:pStyle w:val="Bibliography"/>
        <w:rPr>
          <w:rFonts w:ascii="Calibri" w:cs="Calibri"/>
        </w:rPr>
      </w:pPr>
      <w:r w:rsidRPr="00E814DA">
        <w:rPr>
          <w:rFonts w:ascii="Calibri" w:cs="Calibri"/>
        </w:rPr>
        <w:t xml:space="preserve">2 </w:t>
      </w:r>
      <w:r w:rsidRPr="00E814DA">
        <w:rPr>
          <w:rFonts w:ascii="Calibri" w:cs="Calibri"/>
        </w:rPr>
        <w:tab/>
        <w:t>UK: Daily new confirmed COVID-19 cases per 100,000. Our World in Data. https://ourworldindata.org/grapher/uk-daily-covid-cases-7day-average (accessed 16 Jun 2022).</w:t>
      </w:r>
    </w:p>
    <w:p w14:paraId="31DE7F69" w14:textId="1854F022" w:rsidR="00A77CEE" w:rsidRDefault="00E814DA" w:rsidP="00A77CEE">
      <w:r>
        <w:fldChar w:fldCharType="end"/>
      </w:r>
    </w:p>
    <w:sectPr w:rsidR="00A77C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5C6F40"/>
    <w:multiLevelType w:val="hybridMultilevel"/>
    <w:tmpl w:val="42C02410"/>
    <w:lvl w:ilvl="0" w:tplc="BF3E3E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281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500"/>
    <w:rsid w:val="00047905"/>
    <w:rsid w:val="00060038"/>
    <w:rsid w:val="00072724"/>
    <w:rsid w:val="0047783C"/>
    <w:rsid w:val="00594500"/>
    <w:rsid w:val="005C1CB7"/>
    <w:rsid w:val="007E2492"/>
    <w:rsid w:val="008D5057"/>
    <w:rsid w:val="009251C9"/>
    <w:rsid w:val="00A77CEE"/>
    <w:rsid w:val="00E4446B"/>
    <w:rsid w:val="00E814DA"/>
    <w:rsid w:val="00F17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DC8E4A7"/>
  <w15:chartTrackingRefBased/>
  <w15:docId w15:val="{410775BB-8A1E-5A49-BBF6-8D2EB29E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CEE"/>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CEE"/>
    <w:pPr>
      <w:ind w:left="720"/>
      <w:contextualSpacing/>
    </w:pPr>
  </w:style>
  <w:style w:type="character" w:styleId="Hyperlink">
    <w:name w:val="Hyperlink"/>
    <w:basedOn w:val="DefaultParagraphFont"/>
    <w:uiPriority w:val="99"/>
    <w:unhideWhenUsed/>
    <w:rsid w:val="00E814DA"/>
    <w:rPr>
      <w:color w:val="0563C1" w:themeColor="hyperlink"/>
      <w:u w:val="single"/>
    </w:rPr>
  </w:style>
  <w:style w:type="character" w:styleId="UnresolvedMention">
    <w:name w:val="Unresolved Mention"/>
    <w:basedOn w:val="DefaultParagraphFont"/>
    <w:uiPriority w:val="99"/>
    <w:semiHidden/>
    <w:unhideWhenUsed/>
    <w:rsid w:val="00E814DA"/>
    <w:rPr>
      <w:color w:val="605E5C"/>
      <w:shd w:val="clear" w:color="auto" w:fill="E1DFDD"/>
    </w:rPr>
  </w:style>
  <w:style w:type="paragraph" w:styleId="Bibliography">
    <w:name w:val="Bibliography"/>
    <w:basedOn w:val="Normal"/>
    <w:next w:val="Normal"/>
    <w:uiPriority w:val="37"/>
    <w:unhideWhenUsed/>
    <w:rsid w:val="00E814DA"/>
    <w:pPr>
      <w:tabs>
        <w:tab w:val="left" w:pos="260"/>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06924">
      <w:bodyDiv w:val="1"/>
      <w:marLeft w:val="0"/>
      <w:marRight w:val="0"/>
      <w:marTop w:val="0"/>
      <w:marBottom w:val="0"/>
      <w:divBdr>
        <w:top w:val="none" w:sz="0" w:space="0" w:color="auto"/>
        <w:left w:val="none" w:sz="0" w:space="0" w:color="auto"/>
        <w:bottom w:val="none" w:sz="0" w:space="0" w:color="auto"/>
        <w:right w:val="none" w:sz="0" w:space="0" w:color="auto"/>
      </w:divBdr>
    </w:div>
    <w:div w:id="192428157">
      <w:bodyDiv w:val="1"/>
      <w:marLeft w:val="0"/>
      <w:marRight w:val="0"/>
      <w:marTop w:val="0"/>
      <w:marBottom w:val="0"/>
      <w:divBdr>
        <w:top w:val="none" w:sz="0" w:space="0" w:color="auto"/>
        <w:left w:val="none" w:sz="0" w:space="0" w:color="auto"/>
        <w:bottom w:val="none" w:sz="0" w:space="0" w:color="auto"/>
        <w:right w:val="none" w:sz="0" w:space="0" w:color="auto"/>
      </w:divBdr>
    </w:div>
    <w:div w:id="574358480">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972713852">
      <w:bodyDiv w:val="1"/>
      <w:marLeft w:val="0"/>
      <w:marRight w:val="0"/>
      <w:marTop w:val="0"/>
      <w:marBottom w:val="0"/>
      <w:divBdr>
        <w:top w:val="none" w:sz="0" w:space="0" w:color="auto"/>
        <w:left w:val="none" w:sz="0" w:space="0" w:color="auto"/>
        <w:bottom w:val="none" w:sz="0" w:space="0" w:color="auto"/>
        <w:right w:val="none" w:sz="0" w:space="0" w:color="auto"/>
      </w:divBdr>
    </w:div>
    <w:div w:id="1531648058">
      <w:bodyDiv w:val="1"/>
      <w:marLeft w:val="0"/>
      <w:marRight w:val="0"/>
      <w:marTop w:val="0"/>
      <w:marBottom w:val="0"/>
      <w:divBdr>
        <w:top w:val="none" w:sz="0" w:space="0" w:color="auto"/>
        <w:left w:val="none" w:sz="0" w:space="0" w:color="auto"/>
        <w:bottom w:val="none" w:sz="0" w:space="0" w:color="auto"/>
        <w:right w:val="none" w:sz="0" w:space="0" w:color="auto"/>
      </w:divBdr>
    </w:div>
    <w:div w:id="1936983727">
      <w:bodyDiv w:val="1"/>
      <w:marLeft w:val="0"/>
      <w:marRight w:val="0"/>
      <w:marTop w:val="0"/>
      <w:marBottom w:val="0"/>
      <w:divBdr>
        <w:top w:val="none" w:sz="0" w:space="0" w:color="auto"/>
        <w:left w:val="none" w:sz="0" w:space="0" w:color="auto"/>
        <w:bottom w:val="none" w:sz="0" w:space="0" w:color="auto"/>
        <w:right w:val="none" w:sz="0" w:space="0" w:color="auto"/>
      </w:divBdr>
    </w:div>
    <w:div w:id="2001154484">
      <w:bodyDiv w:val="1"/>
      <w:marLeft w:val="0"/>
      <w:marRight w:val="0"/>
      <w:marTop w:val="0"/>
      <w:marBottom w:val="0"/>
      <w:divBdr>
        <w:top w:val="none" w:sz="0" w:space="0" w:color="auto"/>
        <w:left w:val="none" w:sz="0" w:space="0" w:color="auto"/>
        <w:bottom w:val="none" w:sz="0" w:space="0" w:color="auto"/>
        <w:right w:val="none" w:sz="0" w:space="0" w:color="auto"/>
      </w:divBdr>
    </w:div>
    <w:div w:id="2044330145">
      <w:bodyDiv w:val="1"/>
      <w:marLeft w:val="0"/>
      <w:marRight w:val="0"/>
      <w:marTop w:val="0"/>
      <w:marBottom w:val="0"/>
      <w:divBdr>
        <w:top w:val="none" w:sz="0" w:space="0" w:color="auto"/>
        <w:left w:val="none" w:sz="0" w:space="0" w:color="auto"/>
        <w:bottom w:val="none" w:sz="0" w:space="0" w:color="auto"/>
        <w:right w:val="none" w:sz="0" w:space="0" w:color="auto"/>
      </w:divBdr>
    </w:div>
    <w:div w:id="2080861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Pimenta</dc:creator>
  <cp:keywords/>
  <dc:description/>
  <cp:lastModifiedBy>Dominic Pimenta</cp:lastModifiedBy>
  <cp:revision>10</cp:revision>
  <dcterms:created xsi:type="dcterms:W3CDTF">2022-06-16T06:25:00Z</dcterms:created>
  <dcterms:modified xsi:type="dcterms:W3CDTF">2022-06-16T06:41:00Z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zotero-version="6.0.6"&gt;&lt;session id="DtLMZZSY"/&gt;&lt;style id="http://www.zotero.org/styles/bmj" hasBibliography="1" bibliographyStyleHasBeenSet="1"/&gt;&lt;prefs&gt;&lt;pref name="fieldType" value="Field"/&gt;&lt;/prefs&gt;&lt;/data&gt;</vt:lpwstr>
  </property>
</Properties>
</file>