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F3A" w:rsidRDefault="00066A58" w:rsidP="002A3166">
      <w:pPr>
        <w:pStyle w:val="BodyText"/>
        <w:rPr>
          <w:sz w:val="20"/>
        </w:rPr>
      </w:pPr>
      <w:r>
        <w:rPr>
          <w:noProof/>
          <w:sz w:val="20"/>
        </w:rPr>
        <w:drawing>
          <wp:inline distT="0" distB="0" distL="0" distR="0">
            <wp:extent cx="7346837" cy="1049572"/>
            <wp:effectExtent l="0" t="0" r="0" b="0"/>
            <wp:docPr id="1" name="Picture 1" descr="\\omicswb-252\Pallab Team\greeshma\greeshma\International Conference on Clinical T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cswb-252\Pallab Team\greeshma\greeshma\International Conference on Clinical Trial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1051403"/>
                    </a:xfrm>
                    <a:prstGeom prst="rect">
                      <a:avLst/>
                    </a:prstGeom>
                    <a:noFill/>
                    <a:ln>
                      <a:noFill/>
                    </a:ln>
                  </pic:spPr>
                </pic:pic>
              </a:graphicData>
            </a:graphic>
          </wp:inline>
        </w:drawing>
      </w:r>
    </w:p>
    <w:p w:rsidR="00225F3A" w:rsidRDefault="00F2190C">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9210" r="20955" b="2794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8BA80"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9v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EsBL28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A5321D" w:rsidRPr="00A5321D" w:rsidRDefault="00B259F3" w:rsidP="00A5321D">
      <w:pPr>
        <w:spacing w:before="92"/>
        <w:ind w:left="594" w:right="151"/>
        <w:rPr>
          <w:b/>
          <w:color w:val="585858"/>
        </w:rPr>
      </w:pPr>
      <w:r>
        <w:rPr>
          <w:b/>
          <w:color w:val="585858"/>
        </w:rPr>
        <w:t xml:space="preserve">Title: </w:t>
      </w:r>
      <w:r w:rsidR="00A5321D" w:rsidRPr="00A5321D">
        <w:rPr>
          <w:b/>
          <w:color w:val="585858"/>
        </w:rPr>
        <w:t>Legal Framework of Clinical Research Oversight in Egypt  </w:t>
      </w:r>
    </w:p>
    <w:p w:rsidR="00225F3A" w:rsidRDefault="00A5321D" w:rsidP="00A5321D">
      <w:pPr>
        <w:spacing w:before="92"/>
        <w:ind w:left="594" w:right="151"/>
      </w:pPr>
      <w:r>
        <w:rPr>
          <w:color w:val="585858"/>
        </w:rPr>
        <w:t>Azza Saleh Radwan</w:t>
      </w:r>
    </w:p>
    <w:p w:rsidR="00225F3A" w:rsidRDefault="00A5321D">
      <w:pPr>
        <w:pStyle w:val="BodyText"/>
        <w:spacing w:line="231" w:lineRule="exact"/>
        <w:ind w:left="594"/>
      </w:pPr>
      <w:r>
        <w:rPr>
          <w:color w:val="585858"/>
          <w:position w:val="9"/>
          <w:sz w:val="12"/>
        </w:rPr>
        <w:t>Head of Central Administration of Health and Research Development (RHD), Ministry of Health and Population, Egypt</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rsidP="00FF271F">
      <w:pPr>
        <w:pStyle w:val="Heading3"/>
        <w:spacing w:before="114"/>
        <w:ind w:left="426" w:right="9" w:firstLine="0"/>
        <w:jc w:val="both"/>
      </w:pPr>
      <w:r>
        <w:rPr>
          <w:color w:val="585858"/>
        </w:rPr>
        <w:lastRenderedPageBreak/>
        <w:t xml:space="preserve">Keywords: </w:t>
      </w:r>
      <w:r w:rsidR="00FF271F">
        <w:rPr>
          <w:color w:val="585858"/>
        </w:rPr>
        <w:t>ministerial decree, contrat research organization, clinical research center, research ethics committee</w:t>
      </w:r>
      <w:bookmarkStart w:id="0" w:name="_GoBack"/>
      <w:bookmarkEnd w:id="0"/>
    </w:p>
    <w:p w:rsidR="00225F3A" w:rsidRDefault="00225F3A">
      <w:pPr>
        <w:pStyle w:val="BodyText"/>
        <w:rPr>
          <w:b/>
          <w:sz w:val="20"/>
        </w:rPr>
      </w:pPr>
    </w:p>
    <w:p w:rsidR="00225F3A" w:rsidRDefault="00225F3A">
      <w:pPr>
        <w:pStyle w:val="BodyText"/>
        <w:spacing w:before="10"/>
        <w:rPr>
          <w:b/>
        </w:rPr>
      </w:pPr>
    </w:p>
    <w:p w:rsidR="00FF271F" w:rsidRPr="00FF271F" w:rsidRDefault="00B259F3" w:rsidP="00F45B83">
      <w:pPr>
        <w:pStyle w:val="ListParagraph"/>
        <w:numPr>
          <w:ilvl w:val="0"/>
          <w:numId w:val="1"/>
        </w:numPr>
        <w:tabs>
          <w:tab w:val="left" w:pos="1866"/>
          <w:tab w:val="left" w:pos="1867"/>
        </w:tabs>
        <w:spacing w:line="360" w:lineRule="auto"/>
        <w:ind w:left="709" w:hanging="446"/>
        <w:jc w:val="mediumKashida"/>
        <w:rPr>
          <w:rFonts w:ascii="Arial" w:hAnsi="Arial" w:cs="Arial"/>
          <w:sz w:val="18"/>
          <w:szCs w:val="18"/>
          <w:shd w:val="clear" w:color="auto" w:fill="F5F5F5"/>
        </w:rPr>
      </w:pPr>
      <w:r w:rsidRPr="00FF271F">
        <w:rPr>
          <w:b/>
          <w:color w:val="585858"/>
          <w:sz w:val="19"/>
        </w:rPr>
        <w:t xml:space="preserve">Abstract Body </w:t>
      </w:r>
    </w:p>
    <w:p w:rsidR="00A5321D" w:rsidRPr="00FF271F" w:rsidRDefault="00A5321D" w:rsidP="00FF271F">
      <w:pPr>
        <w:pStyle w:val="ListParagraph"/>
        <w:tabs>
          <w:tab w:val="left" w:pos="1866"/>
          <w:tab w:val="left" w:pos="1867"/>
        </w:tabs>
        <w:spacing w:line="360" w:lineRule="auto"/>
        <w:ind w:left="709" w:firstLine="0"/>
        <w:jc w:val="mediumKashida"/>
        <w:rPr>
          <w:rFonts w:ascii="Arial" w:hAnsi="Arial" w:cs="Arial"/>
          <w:sz w:val="18"/>
          <w:szCs w:val="18"/>
          <w:shd w:val="clear" w:color="auto" w:fill="F5F5F5"/>
        </w:rPr>
      </w:pPr>
      <w:r w:rsidRPr="00FF271F">
        <w:rPr>
          <w:rFonts w:ascii="Arial" w:hAnsi="Arial" w:cs="Arial"/>
          <w:sz w:val="18"/>
          <w:szCs w:val="18"/>
          <w:shd w:val="clear" w:color="auto" w:fill="F5F5F5"/>
        </w:rPr>
        <w:t xml:space="preserve">In Egypt there are several ministerial decrees issued by the Ministry of Health and Population to organize, monitor and control clinical research conducted in Egypt, to protect the dignity, rights and welfare of all research participants. These decrees are the followings: </w:t>
      </w:r>
    </w:p>
    <w:p w:rsidR="00A5321D" w:rsidRPr="00A5321D" w:rsidRDefault="00A5321D" w:rsidP="00FF271F">
      <w:pPr>
        <w:pStyle w:val="ListParagraph"/>
        <w:widowControl/>
        <w:numPr>
          <w:ilvl w:val="0"/>
          <w:numId w:val="3"/>
        </w:numPr>
        <w:autoSpaceDE/>
        <w:autoSpaceDN/>
        <w:spacing w:line="360" w:lineRule="auto"/>
        <w:ind w:left="1276"/>
        <w:contextualSpacing/>
        <w:jc w:val="mediumKashida"/>
        <w:rPr>
          <w:rFonts w:ascii="Arial" w:hAnsi="Arial" w:cs="Arial"/>
          <w:sz w:val="18"/>
          <w:szCs w:val="18"/>
          <w:shd w:val="clear" w:color="auto" w:fill="F5F5F5"/>
        </w:rPr>
      </w:pPr>
      <w:r w:rsidRPr="00A5321D">
        <w:rPr>
          <w:rFonts w:ascii="Arial" w:hAnsi="Arial" w:cs="Arial"/>
          <w:sz w:val="18"/>
          <w:szCs w:val="18"/>
          <w:shd w:val="clear" w:color="auto" w:fill="F5F5F5"/>
        </w:rPr>
        <w:t xml:space="preserve">Prohibit conducting clinical research on patients or healthy participants prior to submitting and getting the approval from the National Research Ethics Committee of the Ministry of Health and Population (MoHP), through the Central Administration of Research and Health Development (RHD). </w:t>
      </w:r>
    </w:p>
    <w:p w:rsidR="00A5321D" w:rsidRPr="00A5321D" w:rsidRDefault="00A5321D" w:rsidP="00A5321D">
      <w:pPr>
        <w:pStyle w:val="ListParagraph"/>
        <w:widowControl/>
        <w:numPr>
          <w:ilvl w:val="0"/>
          <w:numId w:val="3"/>
        </w:numPr>
        <w:autoSpaceDE/>
        <w:autoSpaceDN/>
        <w:spacing w:line="360" w:lineRule="auto"/>
        <w:contextualSpacing/>
        <w:jc w:val="mediumKashida"/>
        <w:rPr>
          <w:rFonts w:ascii="Arial" w:hAnsi="Arial" w:cs="Arial"/>
          <w:sz w:val="18"/>
          <w:szCs w:val="18"/>
          <w:shd w:val="clear" w:color="auto" w:fill="F5F5F5"/>
        </w:rPr>
      </w:pPr>
      <w:r w:rsidRPr="00A5321D">
        <w:rPr>
          <w:rFonts w:ascii="Arial" w:hAnsi="Arial" w:cs="Arial"/>
          <w:sz w:val="18"/>
          <w:szCs w:val="18"/>
          <w:shd w:val="clear" w:color="auto" w:fill="F5F5F5"/>
        </w:rPr>
        <w:t xml:space="preserve">Registration of Contract Research Organizations (CROs) working in Egypt in RHD-MoHP. </w:t>
      </w:r>
    </w:p>
    <w:p w:rsidR="00A5321D" w:rsidRPr="00A5321D" w:rsidRDefault="00A5321D" w:rsidP="00A5321D">
      <w:pPr>
        <w:pStyle w:val="ListParagraph"/>
        <w:widowControl/>
        <w:numPr>
          <w:ilvl w:val="0"/>
          <w:numId w:val="3"/>
        </w:numPr>
        <w:autoSpaceDE/>
        <w:autoSpaceDN/>
        <w:spacing w:line="360" w:lineRule="auto"/>
        <w:contextualSpacing/>
        <w:jc w:val="mediumKashida"/>
        <w:rPr>
          <w:rFonts w:ascii="Arial" w:hAnsi="Arial" w:cs="Arial"/>
          <w:sz w:val="18"/>
          <w:szCs w:val="18"/>
          <w:shd w:val="clear" w:color="auto" w:fill="F5F5F5"/>
        </w:rPr>
      </w:pPr>
      <w:r w:rsidRPr="00A5321D">
        <w:rPr>
          <w:rFonts w:ascii="Arial" w:hAnsi="Arial" w:cs="Arial"/>
          <w:sz w:val="18"/>
          <w:szCs w:val="18"/>
          <w:shd w:val="clear" w:color="auto" w:fill="F5F5F5"/>
        </w:rPr>
        <w:t xml:space="preserve">Registration of all Research Ethics Committees (RECs) working in Egypt in RHD-MoHP.  </w:t>
      </w:r>
    </w:p>
    <w:p w:rsidR="00A5321D" w:rsidRPr="00A5321D" w:rsidRDefault="00A5321D" w:rsidP="00A5321D">
      <w:pPr>
        <w:pStyle w:val="ListParagraph"/>
        <w:widowControl/>
        <w:numPr>
          <w:ilvl w:val="0"/>
          <w:numId w:val="3"/>
        </w:numPr>
        <w:autoSpaceDE/>
        <w:autoSpaceDN/>
        <w:spacing w:line="360" w:lineRule="auto"/>
        <w:contextualSpacing/>
        <w:jc w:val="mediumKashida"/>
        <w:rPr>
          <w:rFonts w:ascii="Arial" w:hAnsi="Arial" w:cs="Arial"/>
          <w:sz w:val="18"/>
          <w:szCs w:val="18"/>
          <w:shd w:val="clear" w:color="auto" w:fill="F5F5F5"/>
        </w:rPr>
      </w:pPr>
      <w:r w:rsidRPr="00A5321D">
        <w:rPr>
          <w:rFonts w:ascii="Arial" w:hAnsi="Arial" w:cs="Arial"/>
          <w:sz w:val="18"/>
          <w:szCs w:val="18"/>
          <w:shd w:val="clear" w:color="auto" w:fill="F5F5F5"/>
        </w:rPr>
        <w:t>Establishment, registration and accreditation of Clinical Research Centers (CRCs) where clinical researches are conducted.</w:t>
      </w:r>
    </w:p>
    <w:p w:rsidR="00A5321D" w:rsidRPr="00A5321D" w:rsidRDefault="00A5321D" w:rsidP="00A5321D">
      <w:pPr>
        <w:pStyle w:val="ListParagraph"/>
        <w:widowControl/>
        <w:numPr>
          <w:ilvl w:val="0"/>
          <w:numId w:val="3"/>
        </w:numPr>
        <w:autoSpaceDE/>
        <w:autoSpaceDN/>
        <w:spacing w:line="360" w:lineRule="auto"/>
        <w:contextualSpacing/>
        <w:jc w:val="mediumKashida"/>
        <w:rPr>
          <w:rFonts w:ascii="Arial" w:hAnsi="Arial" w:cs="Arial"/>
          <w:sz w:val="18"/>
          <w:szCs w:val="18"/>
          <w:shd w:val="clear" w:color="auto" w:fill="F5F5F5"/>
        </w:rPr>
      </w:pPr>
      <w:r w:rsidRPr="00A5321D">
        <w:rPr>
          <w:rFonts w:ascii="Arial" w:hAnsi="Arial" w:cs="Arial"/>
          <w:sz w:val="18"/>
          <w:szCs w:val="18"/>
          <w:shd w:val="clear" w:color="auto" w:fill="F5F5F5"/>
        </w:rPr>
        <w:t xml:space="preserve">Field inspection and periodic monitoring of the research procedure. </w:t>
      </w:r>
    </w:p>
    <w:p w:rsidR="00A5321D" w:rsidRPr="00A5321D" w:rsidRDefault="00A5321D" w:rsidP="00A5321D">
      <w:pPr>
        <w:pStyle w:val="ListParagraph"/>
        <w:widowControl/>
        <w:numPr>
          <w:ilvl w:val="0"/>
          <w:numId w:val="3"/>
        </w:numPr>
        <w:autoSpaceDE/>
        <w:autoSpaceDN/>
        <w:spacing w:line="360" w:lineRule="auto"/>
        <w:contextualSpacing/>
        <w:jc w:val="mediumKashida"/>
        <w:rPr>
          <w:rFonts w:ascii="Arial" w:hAnsi="Arial" w:cs="Arial"/>
          <w:sz w:val="18"/>
          <w:szCs w:val="18"/>
          <w:lang w:bidi="ar-EG"/>
        </w:rPr>
      </w:pPr>
      <w:r w:rsidRPr="00A5321D">
        <w:rPr>
          <w:rFonts w:ascii="Arial" w:hAnsi="Arial" w:cs="Arial"/>
          <w:sz w:val="18"/>
          <w:szCs w:val="18"/>
          <w:shd w:val="clear" w:color="auto" w:fill="F5F5F5"/>
        </w:rPr>
        <w:t>In addition to the aforementioned ministerial decrees, the Law of clinical trials has been approved by the Council of Ministers and is on the way for approval by the Parliament in the near future.</w:t>
      </w:r>
    </w:p>
    <w:p w:rsidR="00A5321D" w:rsidRPr="00A5321D" w:rsidRDefault="00A5321D" w:rsidP="00A5321D">
      <w:pPr>
        <w:spacing w:line="360" w:lineRule="auto"/>
        <w:jc w:val="mediumKashida"/>
        <w:rPr>
          <w:rFonts w:ascii="Arial" w:hAnsi="Arial" w:cs="Arial"/>
          <w:sz w:val="20"/>
          <w:szCs w:val="20"/>
          <w:rtl/>
          <w:lang w:bidi="ar-EG"/>
        </w:rPr>
      </w:pPr>
    </w:p>
    <w:p w:rsidR="00225F3A" w:rsidRPr="00A5321D" w:rsidRDefault="00225F3A">
      <w:pPr>
        <w:pStyle w:val="BodyText"/>
        <w:spacing w:before="2"/>
        <w:rPr>
          <w:sz w:val="20"/>
          <w:szCs w:val="20"/>
          <w:lang w:bidi="ar-EG"/>
        </w:rPr>
      </w:pPr>
    </w:p>
    <w:p w:rsidR="00225F3A" w:rsidRPr="00A5321D" w:rsidRDefault="00225F3A">
      <w:pPr>
        <w:pStyle w:val="BodyText"/>
        <w:ind w:left="1238"/>
        <w:rPr>
          <w:sz w:val="20"/>
          <w:szCs w:val="20"/>
        </w:rPr>
      </w:pPr>
    </w:p>
    <w:p w:rsidR="00225F3A" w:rsidRPr="00A5321D" w:rsidRDefault="00B259F3" w:rsidP="00A5321D">
      <w:pPr>
        <w:pStyle w:val="ListParagraph"/>
        <w:tabs>
          <w:tab w:val="left" w:pos="1758"/>
        </w:tabs>
        <w:spacing w:before="92"/>
        <w:ind w:firstLine="0"/>
        <w:rPr>
          <w:color w:val="585858"/>
          <w:sz w:val="19"/>
        </w:rPr>
      </w:pPr>
      <w:r>
        <w:rPr>
          <w:b/>
          <w:color w:val="585858"/>
          <w:w w:val="99"/>
          <w:sz w:val="19"/>
        </w:rPr>
        <w:br w:type="column"/>
      </w:r>
    </w:p>
    <w:p w:rsidR="00225F3A" w:rsidRDefault="00B259F3">
      <w:pPr>
        <w:pStyle w:val="Heading3"/>
        <w:numPr>
          <w:ilvl w:val="0"/>
          <w:numId w:val="1"/>
        </w:numPr>
        <w:tabs>
          <w:tab w:val="left" w:pos="1758"/>
        </w:tabs>
        <w:ind w:left="1757"/>
        <w:jc w:val="left"/>
      </w:pPr>
      <w:r>
        <w:rPr>
          <w:color w:val="585858"/>
        </w:rPr>
        <w:t>Biography:</w:t>
      </w:r>
    </w:p>
    <w:p w:rsidR="00FF271F" w:rsidRPr="00FF271F" w:rsidRDefault="00FF271F" w:rsidP="00FF271F">
      <w:pPr>
        <w:pStyle w:val="BodyText"/>
        <w:spacing w:before="1"/>
        <w:ind w:left="567"/>
        <w:rPr>
          <w:rFonts w:ascii="Arial" w:hAnsi="Arial"/>
          <w:sz w:val="18"/>
          <w:szCs w:val="18"/>
        </w:rPr>
      </w:pPr>
      <w:r w:rsidRPr="00FF271F">
        <w:rPr>
          <w:rFonts w:ascii="Arial" w:hAnsi="Arial"/>
          <w:sz w:val="18"/>
          <w:szCs w:val="18"/>
        </w:rPr>
        <w:t xml:space="preserve">Professor of Clinical and Chemical Pathology, holding Diploma in Total Quality Management in Healthcare AUC, International Certificate in Research Ethics and International Certificate as Professional Trainer (CIPT), USA. </w:t>
      </w:r>
      <w:r w:rsidRPr="00FF271F">
        <w:rPr>
          <w:rFonts w:ascii="Arial" w:hAnsi="Arial"/>
          <w:sz w:val="18"/>
          <w:szCs w:val="18"/>
        </w:rPr>
        <w:t>February 2015, d</w:t>
      </w:r>
      <w:r w:rsidRPr="00FF271F">
        <w:rPr>
          <w:rFonts w:ascii="Arial" w:hAnsi="Arial"/>
          <w:sz w:val="18"/>
          <w:szCs w:val="18"/>
        </w:rPr>
        <w:t>elegated as Head of the Central Directorate of Research and Health Development (RHD) in Ministry of Health and Population (MoHP) and coordinator of the National Research Ethics Committee (NREC), MoHP. Creator &amp; Coordinator of the Egyptian Network of Research Ethics Committees (ENREC) (</w:t>
      </w:r>
      <w:hyperlink r:id="rId8" w:tgtFrame="_blank" w:history="1">
        <w:r w:rsidRPr="00FF271F">
          <w:rPr>
            <w:rStyle w:val="Hyperlink"/>
            <w:rFonts w:ascii="Arial" w:hAnsi="Arial"/>
            <w:sz w:val="18"/>
            <w:szCs w:val="18"/>
          </w:rPr>
          <w:t>www.enrec.org</w:t>
        </w:r>
      </w:hyperlink>
      <w:r w:rsidRPr="00FF271F">
        <w:rPr>
          <w:rFonts w:ascii="Arial" w:hAnsi="Arial"/>
          <w:sz w:val="18"/>
          <w:szCs w:val="18"/>
        </w:rPr>
        <w:t>) in 2008, Faculty member in the Armed Forces College of Medicine (AFCM) and Vice Chair of its IRB, Vice Chair of the Armed Forces Medical Services IRB.</w:t>
      </w:r>
    </w:p>
    <w:p w:rsidR="00FF271F" w:rsidRDefault="00FF271F" w:rsidP="00FF271F">
      <w:pPr>
        <w:pStyle w:val="BodyText"/>
        <w:spacing w:before="1"/>
        <w:rPr>
          <w:rFonts w:ascii="Arial" w:hAnsi="Arial"/>
        </w:rPr>
      </w:pPr>
    </w:p>
    <w:p w:rsidR="00225F3A" w:rsidRDefault="00B259F3" w:rsidP="00FF271F">
      <w:pPr>
        <w:pStyle w:val="BodyText"/>
        <w:spacing w:before="1"/>
        <w:ind w:left="567"/>
      </w:pPr>
      <w:r>
        <w:rPr>
          <w:color w:val="585858"/>
        </w:rPr>
        <w:t>Presenting author</w:t>
      </w:r>
      <w:r>
        <w:rPr>
          <w:color w:val="585858"/>
          <w:spacing w:val="-7"/>
        </w:rPr>
        <w:t xml:space="preserve"> </w:t>
      </w:r>
      <w:r>
        <w:rPr>
          <w:color w:val="585858"/>
        </w:rPr>
        <w:t>details</w:t>
      </w:r>
    </w:p>
    <w:p w:rsidR="00225F3A" w:rsidRDefault="00FF271F">
      <w:pPr>
        <w:pStyle w:val="BodyText"/>
        <w:spacing w:before="7"/>
        <w:rPr>
          <w:b/>
          <w:sz w:val="15"/>
        </w:rPr>
      </w:pPr>
      <w:r w:rsidRPr="00A5321D">
        <w:rPr>
          <w:b/>
          <w:noProof/>
          <w:sz w:val="15"/>
        </w:rPr>
        <w:drawing>
          <wp:anchor distT="0" distB="0" distL="114300" distR="114300" simplePos="0" relativeHeight="251658752" behindDoc="0" locked="0" layoutInCell="1" allowOverlap="1" wp14:anchorId="132888FB" wp14:editId="151BCE77">
            <wp:simplePos x="0" y="0"/>
            <wp:positionH relativeFrom="column">
              <wp:posOffset>640715</wp:posOffset>
            </wp:positionH>
            <wp:positionV relativeFrom="paragraph">
              <wp:posOffset>17780</wp:posOffset>
            </wp:positionV>
            <wp:extent cx="763905" cy="1149985"/>
            <wp:effectExtent l="0" t="0" r="0" b="0"/>
            <wp:wrapSquare wrapText="bothSides"/>
            <wp:docPr id="2" name="Picture 2" descr="H:\Azza (E)1\Azza Photo and CV\Azza IDs\Azza 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zza (E)1\Azza Photo and CV\Azza IDs\Azza New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3905" cy="1149985"/>
                    </a:xfrm>
                    <a:prstGeom prst="rect">
                      <a:avLst/>
                    </a:prstGeom>
                    <a:noFill/>
                    <a:ln>
                      <a:noFill/>
                    </a:ln>
                  </pic:spPr>
                </pic:pic>
              </a:graphicData>
            </a:graphic>
          </wp:anchor>
        </w:drawing>
      </w:r>
    </w:p>
    <w:p w:rsidR="00A5321D" w:rsidRDefault="00A5321D">
      <w:pPr>
        <w:pStyle w:val="BodyText"/>
        <w:spacing w:before="172"/>
        <w:ind w:left="316" w:right="4143"/>
        <w:rPr>
          <w:color w:val="585858"/>
        </w:rPr>
      </w:pPr>
    </w:p>
    <w:p w:rsidR="00A5321D" w:rsidRDefault="00A5321D">
      <w:pPr>
        <w:pStyle w:val="BodyText"/>
        <w:spacing w:before="172"/>
        <w:ind w:left="316" w:right="4143"/>
        <w:rPr>
          <w:color w:val="585858"/>
        </w:rPr>
      </w:pPr>
    </w:p>
    <w:p w:rsidR="00A5321D" w:rsidRDefault="00A5321D">
      <w:pPr>
        <w:pStyle w:val="BodyText"/>
        <w:spacing w:before="172"/>
        <w:ind w:left="316" w:right="4143"/>
        <w:rPr>
          <w:color w:val="585858"/>
        </w:rPr>
      </w:pPr>
    </w:p>
    <w:p w:rsidR="00A5321D" w:rsidRDefault="00A5321D">
      <w:pPr>
        <w:pStyle w:val="BodyText"/>
        <w:spacing w:before="172"/>
        <w:ind w:left="316" w:right="4143"/>
        <w:rPr>
          <w:color w:val="585858"/>
        </w:rPr>
      </w:pPr>
    </w:p>
    <w:p w:rsidR="00A5321D" w:rsidRDefault="00A5321D">
      <w:pPr>
        <w:pStyle w:val="BodyText"/>
        <w:spacing w:before="172"/>
        <w:ind w:left="316" w:right="4143"/>
        <w:rPr>
          <w:color w:val="585858"/>
        </w:rPr>
      </w:pPr>
    </w:p>
    <w:p w:rsidR="00A5321D" w:rsidRDefault="00B259F3" w:rsidP="00A5321D">
      <w:pPr>
        <w:pStyle w:val="BodyText"/>
        <w:spacing w:before="172"/>
        <w:ind w:left="316" w:right="1380"/>
        <w:rPr>
          <w:color w:val="585858"/>
        </w:rPr>
      </w:pPr>
      <w:r>
        <w:rPr>
          <w:color w:val="585858"/>
        </w:rPr>
        <w:t xml:space="preserve">Full Name: </w:t>
      </w:r>
      <w:r w:rsidR="00A5321D">
        <w:rPr>
          <w:color w:val="585858"/>
        </w:rPr>
        <w:t xml:space="preserve">Azza Saleh Radwan </w:t>
      </w:r>
    </w:p>
    <w:p w:rsidR="00225F3A" w:rsidRPr="00A5321D" w:rsidRDefault="00B259F3" w:rsidP="00A5321D">
      <w:pPr>
        <w:pStyle w:val="BodyText"/>
        <w:spacing w:before="172"/>
        <w:ind w:left="316" w:right="1380"/>
        <w:rPr>
          <w:color w:val="585858"/>
        </w:rPr>
      </w:pPr>
      <w:r>
        <w:rPr>
          <w:color w:val="585858"/>
        </w:rPr>
        <w:t xml:space="preserve">Contact number: </w:t>
      </w:r>
      <w:r w:rsidR="00A5321D">
        <w:t>00201001408780</w:t>
      </w:r>
    </w:p>
    <w:p w:rsidR="00225F3A" w:rsidRDefault="00B259F3">
      <w:pPr>
        <w:pStyle w:val="BodyText"/>
        <w:ind w:left="316"/>
      </w:pPr>
      <w:r>
        <w:rPr>
          <w:color w:val="585858"/>
        </w:rPr>
        <w:t>Session name/ number:</w:t>
      </w:r>
    </w:p>
    <w:p w:rsidR="00A5321D" w:rsidRDefault="00B259F3">
      <w:pPr>
        <w:pStyle w:val="BodyText"/>
        <w:ind w:left="316" w:right="1786"/>
        <w:rPr>
          <w:color w:val="585858"/>
        </w:rPr>
      </w:pPr>
      <w:r>
        <w:rPr>
          <w:color w:val="585858"/>
        </w:rPr>
        <w:t>Category: (Oral p</w:t>
      </w:r>
      <w:r w:rsidR="00A5321D">
        <w:rPr>
          <w:color w:val="585858"/>
        </w:rPr>
        <w:t>resentation</w:t>
      </w:r>
      <w:r>
        <w:rPr>
          <w:color w:val="585858"/>
        </w:rPr>
        <w:t xml:space="preserve">) </w:t>
      </w:r>
    </w:p>
    <w:p w:rsidR="00225F3A" w:rsidRDefault="00B259F3" w:rsidP="00A5321D">
      <w:pPr>
        <w:pStyle w:val="BodyText"/>
        <w:ind w:left="316" w:right="1786"/>
        <w:rPr>
          <w:sz w:val="18"/>
        </w:rPr>
        <w:sectPr w:rsidR="00225F3A" w:rsidSect="00FF271F">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A5321D">
        <w:rPr>
          <w:color w:val="585858"/>
          <w:sz w:val="18"/>
        </w:rPr>
        <w:t xml:space="preserve"> </w:t>
      </w:r>
      <w:r w:rsidR="00A5321D">
        <w:rPr>
          <w:sz w:val="18"/>
        </w:rPr>
        <w:t>A21844594</w:t>
      </w:r>
    </w:p>
    <w:p w:rsidR="00225F3A" w:rsidRDefault="00225F3A">
      <w:pPr>
        <w:pStyle w:val="BodyText"/>
        <w:rPr>
          <w:sz w:val="20"/>
        </w:rPr>
      </w:pPr>
    </w:p>
    <w:p w:rsidR="00225F3A" w:rsidRDefault="00225F3A">
      <w:pPr>
        <w:pStyle w:val="BodyText"/>
        <w:rPr>
          <w:sz w:val="20"/>
        </w:rPr>
      </w:pPr>
    </w:p>
    <w:p w:rsidR="00225F3A" w:rsidRDefault="00225F3A">
      <w:pPr>
        <w:pStyle w:val="BodyText"/>
        <w:spacing w:before="1"/>
        <w:rPr>
          <w:sz w:val="27"/>
        </w:rPr>
      </w:pPr>
    </w:p>
    <w:p w:rsidR="00225F3A" w:rsidRDefault="00F2190C">
      <w:pPr>
        <w:pStyle w:val="BodyText"/>
        <w:spacing w:line="55" w:lineRule="exact"/>
        <w:ind w:left="107"/>
        <w:rPr>
          <w:sz w:val="5"/>
        </w:rPr>
      </w:pPr>
      <w:r>
        <w:rPr>
          <w:noProof/>
          <w:sz w:val="5"/>
        </w:rPr>
        <mc:AlternateContent>
          <mc:Choice Requires="wpg">
            <w:drawing>
              <wp:inline distT="0" distB="0" distL="0" distR="0">
                <wp:extent cx="7226300" cy="34925"/>
                <wp:effectExtent l="8255" t="7620" r="4445" b="508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B0FBFD"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anchorx="page"/>
                <w10:anchorlock/>
              </v:group>
            </w:pict>
          </mc:Fallback>
        </mc:AlternateContent>
      </w:r>
    </w:p>
    <w:p w:rsidR="00225F3A" w:rsidRDefault="00B259F3">
      <w:pPr>
        <w:spacing w:before="49"/>
        <w:ind w:left="1105" w:right="1371"/>
        <w:jc w:val="center"/>
        <w:rPr>
          <w:sz w:val="20"/>
        </w:rPr>
      </w:pPr>
      <w:r>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Pr="00066A58" w:rsidRDefault="00B259F3">
      <w:pPr>
        <w:spacing w:line="276" w:lineRule="exact"/>
        <w:ind w:left="1048" w:right="1488"/>
        <w:jc w:val="center"/>
        <w:rPr>
          <w:color w:val="595959" w:themeColor="text1" w:themeTint="A6"/>
          <w:sz w:val="20"/>
        </w:rPr>
      </w:pPr>
      <w:r w:rsidRPr="00066A58">
        <w:rPr>
          <w:color w:val="585858"/>
          <w:sz w:val="20"/>
          <w:szCs w:val="20"/>
        </w:rPr>
        <w:lastRenderedPageBreak/>
        <w:t xml:space="preserve">Web: </w:t>
      </w:r>
      <w:hyperlink r:id="rId10" w:history="1">
        <w:r w:rsidR="00066A58" w:rsidRPr="00066A58">
          <w:rPr>
            <w:rStyle w:val="Hyperlink"/>
            <w:sz w:val="20"/>
            <w:szCs w:val="20"/>
          </w:rPr>
          <w:t>https://www.meetingsint.com/conferences/clinicaltrials</w:t>
        </w:r>
      </w:hyperlink>
      <w:r>
        <w:rPr>
          <w:sz w:val="20"/>
        </w:rPr>
        <w:t xml:space="preserve">| </w:t>
      </w:r>
      <w:r>
        <w:rPr>
          <w:color w:val="585858"/>
          <w:sz w:val="24"/>
        </w:rPr>
        <w:t xml:space="preserve">E-mail </w:t>
      </w:r>
      <w:r w:rsidR="00066A58">
        <w:t xml:space="preserve">: </w:t>
      </w:r>
      <w:r w:rsidR="00066A58" w:rsidRPr="00066A58">
        <w:rPr>
          <w:color w:val="595959" w:themeColor="text1" w:themeTint="A6"/>
        </w:rPr>
        <w:t>clinicaltrials@meetingseries.org</w:t>
      </w:r>
    </w:p>
    <w:sectPr w:rsidR="00225F3A" w:rsidRPr="00066A58">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276" w:rsidRDefault="00B91276" w:rsidP="002A3166">
      <w:r>
        <w:separator/>
      </w:r>
    </w:p>
  </w:endnote>
  <w:endnote w:type="continuationSeparator" w:id="0">
    <w:p w:rsidR="00B91276" w:rsidRDefault="00B9127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276" w:rsidRDefault="00B91276" w:rsidP="002A3166">
      <w:r>
        <w:separator/>
      </w:r>
    </w:p>
  </w:footnote>
  <w:footnote w:type="continuationSeparator" w:id="0">
    <w:p w:rsidR="00B91276" w:rsidRDefault="00B91276"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06B11"/>
    <w:multiLevelType w:val="hybridMultilevel"/>
    <w:tmpl w:val="72E8A8F4"/>
    <w:lvl w:ilvl="0" w:tplc="11544A7A">
      <w:start w:val="1"/>
      <w:numFmt w:val="upperRoman"/>
      <w:lvlText w:val="%1."/>
      <w:lvlJc w:val="left"/>
      <w:pPr>
        <w:ind w:left="1582"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2">
    <w:nsid w:val="7B2E7800"/>
    <w:multiLevelType w:val="hybridMultilevel"/>
    <w:tmpl w:val="BC745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66A58"/>
    <w:rsid w:val="00225F3A"/>
    <w:rsid w:val="002A3166"/>
    <w:rsid w:val="00A5321D"/>
    <w:rsid w:val="00B259F3"/>
    <w:rsid w:val="00B91276"/>
    <w:rsid w:val="00F2190C"/>
    <w:rsid w:val="00FF271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178A28-ED93-4D58-8B99-2DF66B63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 w:type="paragraph" w:styleId="NormalWeb">
    <w:name w:val="Normal (Web)"/>
    <w:basedOn w:val="Normal"/>
    <w:uiPriority w:val="99"/>
    <w:semiHidden/>
    <w:unhideWhenUsed/>
    <w:rsid w:val="00A5321D"/>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492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rec.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eetingsint.com/conferences/clinicaltrials"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Azza Saleh</cp:lastModifiedBy>
  <cp:revision>2</cp:revision>
  <dcterms:created xsi:type="dcterms:W3CDTF">2018-03-03T15:25:00Z</dcterms:created>
  <dcterms:modified xsi:type="dcterms:W3CDTF">2018-03-03T15:25:00Z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