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E0B51" w14:textId="77777777" w:rsidR="00F43D6C" w:rsidRPr="001E0D90" w:rsidRDefault="00F43D6C" w:rsidP="00F43D6C">
      <w:pPr>
        <w:pStyle w:val="EECON-Content"/>
        <w:jc w:val="center"/>
        <w:rPr>
          <w:b/>
          <w:bCs/>
          <w:noProof/>
          <w:sz w:val="24"/>
          <w:szCs w:val="32"/>
        </w:rPr>
      </w:pPr>
      <w:r w:rsidRPr="001E0D90">
        <w:rPr>
          <w:b/>
          <w:bCs/>
          <w:noProof/>
          <w:sz w:val="24"/>
          <w:szCs w:val="32"/>
        </w:rPr>
        <w:t xml:space="preserve">Biofilm Producing Vancomycin-Resistant </w:t>
      </w:r>
      <w:r w:rsidRPr="001E0D90">
        <w:rPr>
          <w:b/>
          <w:bCs/>
          <w:i/>
          <w:iCs/>
          <w:noProof/>
          <w:sz w:val="24"/>
          <w:szCs w:val="32"/>
        </w:rPr>
        <w:t>Enterococcus faecium</w:t>
      </w:r>
      <w:r w:rsidRPr="001E0D90">
        <w:rPr>
          <w:b/>
          <w:bCs/>
          <w:noProof/>
          <w:sz w:val="24"/>
          <w:szCs w:val="32"/>
        </w:rPr>
        <w:t xml:space="preserve"> Isolates in a Tertiary Care Center, Southern Thailand</w:t>
      </w:r>
    </w:p>
    <w:p w14:paraId="4094E5DD" w14:textId="77777777" w:rsidR="00F43D6C" w:rsidRDefault="00F43D6C" w:rsidP="00F43D6C">
      <w:pPr>
        <w:pStyle w:val="Author"/>
        <w:spacing w:before="160" w:after="0"/>
        <w:rPr>
          <w:rFonts w:ascii="Angsana New" w:hAnsi="Angsana New" w:cs="Angsana New"/>
          <w:b/>
          <w:bCs/>
          <w:sz w:val="24"/>
          <w:szCs w:val="24"/>
          <w:vertAlign w:val="superscript"/>
          <w:lang w:bidi="th-TH"/>
        </w:rPr>
      </w:pPr>
      <w:r w:rsidRPr="007C53FD">
        <w:rPr>
          <w:rFonts w:ascii="Angsana New" w:hAnsi="Angsana New" w:cs="Angsana New"/>
          <w:b/>
          <w:bCs/>
          <w:sz w:val="24"/>
          <w:szCs w:val="24"/>
          <w:lang w:bidi="th-TH"/>
        </w:rPr>
        <w:t>Phanvasri Saengsuwan</w:t>
      </w:r>
      <w:r>
        <w:rPr>
          <w:rFonts w:ascii="Angsana New" w:hAnsi="Angsana New" w:cs="Angsana New"/>
          <w:b/>
          <w:bCs/>
          <w:sz w:val="24"/>
          <w:szCs w:val="24"/>
          <w:lang w:bidi="th-TH"/>
        </w:rPr>
        <w:t xml:space="preserve"> </w:t>
      </w:r>
      <w:r w:rsidRPr="007C53FD">
        <w:rPr>
          <w:rFonts w:ascii="Angsana New" w:hAnsi="Angsana New" w:cs="Angsana New"/>
          <w:b/>
          <w:bCs/>
          <w:sz w:val="24"/>
          <w:szCs w:val="24"/>
          <w:vertAlign w:val="superscript"/>
          <w:cs/>
          <w:lang w:bidi="th-TH"/>
        </w:rPr>
        <w:t>1</w:t>
      </w:r>
      <w:r w:rsidRPr="007C53FD">
        <w:rPr>
          <w:rFonts w:ascii="Angsana New" w:hAnsi="Angsana New" w:cs="Angsana New"/>
          <w:b/>
          <w:bCs/>
          <w:sz w:val="24"/>
          <w:szCs w:val="24"/>
          <w:lang w:bidi="th-TH"/>
        </w:rPr>
        <w:t xml:space="preserve">, </w:t>
      </w:r>
      <w:bookmarkStart w:id="0" w:name="_Hlk89250001"/>
      <w:proofErr w:type="spellStart"/>
      <w:r w:rsidRPr="00435E42">
        <w:rPr>
          <w:rFonts w:ascii="Angsana New" w:hAnsi="Angsana New" w:cs="Angsana New"/>
          <w:b/>
          <w:bCs/>
          <w:sz w:val="24"/>
          <w:szCs w:val="24"/>
          <w:lang w:bidi="th-TH"/>
        </w:rPr>
        <w:t>Kamonnut</w:t>
      </w:r>
      <w:proofErr w:type="spellEnd"/>
      <w:r w:rsidRPr="00435E42">
        <w:rPr>
          <w:rFonts w:ascii="Angsana New" w:hAnsi="Angsana New" w:cs="Angsana New"/>
          <w:b/>
          <w:bCs/>
          <w:sz w:val="24"/>
          <w:szCs w:val="24"/>
          <w:lang w:bidi="th-TH"/>
        </w:rPr>
        <w:t xml:space="preserve"> </w:t>
      </w:r>
      <w:proofErr w:type="spellStart"/>
      <w:r w:rsidRPr="00435E42">
        <w:rPr>
          <w:rFonts w:ascii="Angsana New" w:hAnsi="Angsana New" w:cs="Angsana New"/>
          <w:b/>
          <w:bCs/>
          <w:sz w:val="24"/>
          <w:szCs w:val="24"/>
          <w:lang w:bidi="th-TH"/>
        </w:rPr>
        <w:t>Singkhamanan</w:t>
      </w:r>
      <w:proofErr w:type="spellEnd"/>
      <w:r w:rsidRPr="00435E42">
        <w:rPr>
          <w:rFonts w:ascii="Angsana New" w:hAnsi="Angsana New" w:cs="Angsana New"/>
          <w:b/>
          <w:bCs/>
          <w:sz w:val="24"/>
          <w:szCs w:val="24"/>
          <w:vertAlign w:val="superscript"/>
          <w:lang w:bidi="th-TH"/>
        </w:rPr>
        <w:t xml:space="preserve"> 1</w:t>
      </w:r>
      <w:bookmarkEnd w:id="0"/>
      <w:r w:rsidRPr="007C53FD">
        <w:rPr>
          <w:rFonts w:ascii="Angsana New" w:hAnsi="Angsana New" w:cs="Angsana New"/>
          <w:b/>
          <w:bCs/>
          <w:sz w:val="24"/>
          <w:szCs w:val="24"/>
          <w:lang w:bidi="th-TH"/>
        </w:rPr>
        <w:t xml:space="preserve">, </w:t>
      </w:r>
      <w:proofErr w:type="spellStart"/>
      <w:r w:rsidRPr="007C53FD">
        <w:rPr>
          <w:rFonts w:ascii="Angsana New" w:hAnsi="Angsana New" w:cs="Angsana New"/>
          <w:b/>
          <w:bCs/>
          <w:sz w:val="24"/>
          <w:szCs w:val="24"/>
          <w:lang w:bidi="th-TH"/>
        </w:rPr>
        <w:t>Soontara</w:t>
      </w:r>
      <w:proofErr w:type="spellEnd"/>
      <w:r w:rsidRPr="007C53FD">
        <w:rPr>
          <w:rFonts w:ascii="Angsana New" w:hAnsi="Angsana New" w:cs="Angsana New"/>
          <w:b/>
          <w:bCs/>
          <w:sz w:val="24"/>
          <w:szCs w:val="24"/>
          <w:lang w:bidi="th-TH"/>
        </w:rPr>
        <w:t xml:space="preserve"> </w:t>
      </w:r>
      <w:proofErr w:type="spellStart"/>
      <w:r w:rsidRPr="007C53FD">
        <w:rPr>
          <w:rFonts w:ascii="Angsana New" w:hAnsi="Angsana New" w:cs="Angsana New"/>
          <w:b/>
          <w:bCs/>
          <w:sz w:val="24"/>
          <w:szCs w:val="24"/>
          <w:lang w:bidi="th-TH"/>
        </w:rPr>
        <w:t>Kawila</w:t>
      </w:r>
      <w:proofErr w:type="spellEnd"/>
      <w:r w:rsidRPr="007C53FD">
        <w:rPr>
          <w:rFonts w:ascii="Angsana New" w:hAnsi="Angsana New" w:cs="Angsana New"/>
          <w:b/>
          <w:bCs/>
          <w:sz w:val="24"/>
          <w:szCs w:val="24"/>
          <w:vertAlign w:val="superscript"/>
          <w:cs/>
          <w:lang w:bidi="th-TH"/>
        </w:rPr>
        <w:t>2</w:t>
      </w:r>
      <w:r w:rsidRPr="007C53FD">
        <w:rPr>
          <w:rFonts w:ascii="Angsana New" w:hAnsi="Angsana New" w:cs="Angsana New"/>
          <w:b/>
          <w:bCs/>
          <w:sz w:val="24"/>
          <w:szCs w:val="24"/>
          <w:lang w:bidi="th-TH"/>
        </w:rPr>
        <w:t xml:space="preserve">, </w:t>
      </w:r>
      <w:proofErr w:type="spellStart"/>
      <w:r w:rsidRPr="007C53FD">
        <w:rPr>
          <w:rFonts w:ascii="Angsana New" w:hAnsi="Angsana New" w:cs="Angsana New"/>
          <w:b/>
          <w:bCs/>
          <w:sz w:val="24"/>
          <w:szCs w:val="24"/>
          <w:lang w:bidi="th-TH"/>
        </w:rPr>
        <w:t>Chonticha</w:t>
      </w:r>
      <w:proofErr w:type="spellEnd"/>
      <w:r w:rsidRPr="007C53FD">
        <w:rPr>
          <w:rFonts w:ascii="Angsana New" w:hAnsi="Angsana New" w:cs="Angsana New"/>
          <w:b/>
          <w:bCs/>
          <w:sz w:val="24"/>
          <w:szCs w:val="24"/>
          <w:lang w:bidi="th-TH"/>
        </w:rPr>
        <w:t xml:space="preserve"> </w:t>
      </w:r>
      <w:proofErr w:type="spellStart"/>
      <w:r w:rsidRPr="007C53FD">
        <w:rPr>
          <w:rFonts w:ascii="Angsana New" w:hAnsi="Angsana New" w:cs="Angsana New"/>
          <w:b/>
          <w:bCs/>
          <w:sz w:val="24"/>
          <w:szCs w:val="24"/>
          <w:lang w:bidi="th-TH"/>
        </w:rPr>
        <w:t>Romyasamit</w:t>
      </w:r>
      <w:proofErr w:type="spellEnd"/>
      <w:r w:rsidRPr="007C53FD">
        <w:rPr>
          <w:rFonts w:ascii="Angsana New" w:hAnsi="Angsana New" w:cs="Angsana New"/>
          <w:b/>
          <w:bCs/>
          <w:sz w:val="24"/>
          <w:szCs w:val="24"/>
          <w:vertAlign w:val="superscript"/>
          <w:cs/>
          <w:lang w:bidi="th-TH"/>
        </w:rPr>
        <w:t>3</w:t>
      </w:r>
    </w:p>
    <w:p w14:paraId="2B43150C" w14:textId="77777777" w:rsidR="00F43D6C" w:rsidRPr="00435E42" w:rsidRDefault="00F43D6C" w:rsidP="00F43D6C">
      <w:pPr>
        <w:pStyle w:val="FootnoteText"/>
        <w:jc w:val="center"/>
        <w:rPr>
          <w:rFonts w:ascii="Times New Roman" w:hAnsi="Times New Roman"/>
          <w:i/>
          <w:iCs/>
          <w:color w:val="000000"/>
          <w:sz w:val="16"/>
          <w:szCs w:val="16"/>
        </w:rPr>
      </w:pPr>
      <w:r w:rsidRPr="00435E42">
        <w:rPr>
          <w:rFonts w:ascii="Times New Roman" w:hAnsi="Times New Roman"/>
          <w:sz w:val="16"/>
          <w:szCs w:val="16"/>
          <w:vertAlign w:val="superscript"/>
        </w:rPr>
        <w:t xml:space="preserve">1 </w:t>
      </w:r>
      <w:r w:rsidRPr="00435E42">
        <w:rPr>
          <w:rFonts w:ascii="Times New Roman" w:hAnsi="Times New Roman"/>
          <w:i/>
          <w:iCs/>
          <w:color w:val="000000"/>
          <w:sz w:val="16"/>
          <w:szCs w:val="16"/>
        </w:rPr>
        <w:t>Department of Biomedical Sciences and Biomedical Engineering, Faculty of Medicine, Prince of Songkla University, Songkhla, Thailand</w:t>
      </w:r>
    </w:p>
    <w:p w14:paraId="478B24F5" w14:textId="77777777" w:rsidR="00F43D6C" w:rsidRPr="00435E42" w:rsidRDefault="00F43D6C" w:rsidP="00F43D6C">
      <w:pPr>
        <w:jc w:val="center"/>
        <w:rPr>
          <w:rFonts w:eastAsia="MS Mincho" w:cs="Times New Roman"/>
          <w:i/>
          <w:iCs/>
          <w:color w:val="000000"/>
          <w:sz w:val="16"/>
          <w:szCs w:val="16"/>
          <w:lang w:bidi="ar-SA"/>
        </w:rPr>
      </w:pPr>
      <w:r w:rsidRPr="00435E42">
        <w:rPr>
          <w:rFonts w:eastAsia="MS Mincho" w:cs="Times New Roman"/>
          <w:i/>
          <w:iCs/>
          <w:color w:val="000000"/>
          <w:sz w:val="16"/>
          <w:szCs w:val="16"/>
          <w:vertAlign w:val="superscript"/>
          <w:lang w:bidi="ar-SA"/>
        </w:rPr>
        <w:t>2</w:t>
      </w:r>
      <w:r w:rsidRPr="00435E42">
        <w:rPr>
          <w:rFonts w:eastAsia="MS Mincho" w:cs="Times New Roman"/>
          <w:i/>
          <w:iCs/>
          <w:color w:val="000000"/>
          <w:sz w:val="16"/>
          <w:szCs w:val="16"/>
          <w:lang w:bidi="ar-SA"/>
        </w:rPr>
        <w:t xml:space="preserve"> Clinical Microbiology, Department of Pathology, Faculty of Medicine, Prince of Songkla University, Songkhla, Thailand.</w:t>
      </w:r>
    </w:p>
    <w:p w14:paraId="40159C4D" w14:textId="77777777" w:rsidR="00F43D6C" w:rsidRPr="00435E42" w:rsidRDefault="00F43D6C" w:rsidP="00F43D6C">
      <w:pPr>
        <w:jc w:val="center"/>
        <w:rPr>
          <w:rFonts w:eastAsia="MS Mincho" w:cs="Times New Roman"/>
          <w:i/>
          <w:iCs/>
          <w:color w:val="000000"/>
          <w:sz w:val="16"/>
          <w:szCs w:val="16"/>
          <w:lang w:bidi="ar-SA"/>
        </w:rPr>
      </w:pPr>
      <w:r w:rsidRPr="00435E42">
        <w:rPr>
          <w:rFonts w:eastAsia="MS Mincho" w:cs="Times New Roman"/>
          <w:i/>
          <w:iCs/>
          <w:color w:val="000000"/>
          <w:sz w:val="16"/>
          <w:szCs w:val="16"/>
          <w:vertAlign w:val="superscript"/>
          <w:lang w:bidi="ar-SA"/>
        </w:rPr>
        <w:t>3</w:t>
      </w:r>
      <w:r w:rsidRPr="00435E42">
        <w:rPr>
          <w:rFonts w:eastAsia="MS Mincho" w:cs="Times New Roman"/>
          <w:color w:val="000000"/>
          <w:sz w:val="16"/>
          <w:szCs w:val="16"/>
          <w:lang w:bidi="ar-SA"/>
        </w:rPr>
        <w:t xml:space="preserve"> </w:t>
      </w:r>
      <w:r w:rsidRPr="00435E42">
        <w:rPr>
          <w:rFonts w:eastAsia="MS Mincho" w:cs="Times New Roman"/>
          <w:i/>
          <w:iCs/>
          <w:color w:val="000000"/>
          <w:sz w:val="16"/>
          <w:szCs w:val="16"/>
          <w:lang w:bidi="ar-SA"/>
        </w:rPr>
        <w:t xml:space="preserve">Department of Medical Technology, School of Allied Health Sciences, </w:t>
      </w:r>
      <w:proofErr w:type="spellStart"/>
      <w:r w:rsidRPr="00435E42">
        <w:rPr>
          <w:rFonts w:eastAsia="MS Mincho" w:cs="Times New Roman"/>
          <w:i/>
          <w:iCs/>
          <w:color w:val="000000"/>
          <w:sz w:val="16"/>
          <w:szCs w:val="16"/>
          <w:lang w:bidi="ar-SA"/>
        </w:rPr>
        <w:t>Walailak</w:t>
      </w:r>
      <w:proofErr w:type="spellEnd"/>
      <w:r w:rsidRPr="00435E42">
        <w:rPr>
          <w:rFonts w:eastAsia="MS Mincho" w:cs="Times New Roman"/>
          <w:i/>
          <w:iCs/>
          <w:color w:val="000000"/>
          <w:sz w:val="16"/>
          <w:szCs w:val="16"/>
          <w:lang w:bidi="ar-SA"/>
        </w:rPr>
        <w:t xml:space="preserve"> University, Nakhon Si </w:t>
      </w:r>
      <w:proofErr w:type="spellStart"/>
      <w:r w:rsidRPr="00435E42">
        <w:rPr>
          <w:rFonts w:eastAsia="MS Mincho" w:cs="Times New Roman"/>
          <w:i/>
          <w:iCs/>
          <w:color w:val="000000"/>
          <w:sz w:val="16"/>
          <w:szCs w:val="16"/>
          <w:lang w:bidi="ar-SA"/>
        </w:rPr>
        <w:t>Thammarat</w:t>
      </w:r>
      <w:proofErr w:type="spellEnd"/>
      <w:r w:rsidRPr="00435E42">
        <w:rPr>
          <w:rFonts w:eastAsia="MS Mincho" w:cs="Times New Roman"/>
          <w:i/>
          <w:iCs/>
          <w:color w:val="000000"/>
          <w:sz w:val="16"/>
          <w:szCs w:val="16"/>
          <w:lang w:bidi="ar-SA"/>
        </w:rPr>
        <w:t>, Thailand</w:t>
      </w:r>
    </w:p>
    <w:p w14:paraId="181A12E3" w14:textId="77777777" w:rsidR="00F43D6C" w:rsidRPr="00435E42" w:rsidRDefault="00F43D6C" w:rsidP="00F43D6C">
      <w:pPr>
        <w:jc w:val="center"/>
        <w:rPr>
          <w:rFonts w:eastAsia="MS Mincho" w:cs="Times New Roman"/>
          <w:color w:val="000000"/>
          <w:sz w:val="16"/>
          <w:szCs w:val="16"/>
          <w:u w:val="single"/>
          <w:lang w:bidi="ar-SA"/>
        </w:rPr>
      </w:pPr>
      <w:r w:rsidRPr="00435E42">
        <w:rPr>
          <w:rFonts w:eastAsia="MS Mincho" w:cs="Times New Roman"/>
          <w:color w:val="000000"/>
          <w:sz w:val="16"/>
          <w:szCs w:val="16"/>
          <w:vertAlign w:val="superscript"/>
          <w:lang w:bidi="ar-SA"/>
        </w:rPr>
        <w:sym w:font="Symbol" w:char="F02A"/>
      </w:r>
      <w:r w:rsidRPr="00435E42">
        <w:rPr>
          <w:rFonts w:eastAsia="MS Mincho" w:cs="Times New Roman"/>
          <w:color w:val="000000"/>
          <w:sz w:val="16"/>
          <w:szCs w:val="16"/>
          <w:lang w:bidi="ar-SA"/>
        </w:rPr>
        <w:t xml:space="preserve">For correspondence; E-mail: </w:t>
      </w:r>
      <w:hyperlink r:id="rId4" w:history="1">
        <w:r w:rsidRPr="00435E42">
          <w:rPr>
            <w:rFonts w:eastAsia="MS Mincho" w:cs="Times New Roman"/>
            <w:color w:val="000000"/>
            <w:sz w:val="16"/>
            <w:szCs w:val="16"/>
            <w:u w:val="single"/>
            <w:lang w:bidi="ar-SA"/>
          </w:rPr>
          <w:t>sphanvas@medicine.psu.ac.th</w:t>
        </w:r>
      </w:hyperlink>
    </w:p>
    <w:p w14:paraId="3B534AEF" w14:textId="77777777" w:rsidR="00F43D6C" w:rsidRDefault="00F43D6C" w:rsidP="00F43D6C">
      <w:pPr>
        <w:jc w:val="center"/>
        <w:rPr>
          <w:rFonts w:eastAsia="MS Mincho" w:cs="Times New Roman"/>
          <w:color w:val="000000"/>
          <w:sz w:val="18"/>
          <w:szCs w:val="18"/>
          <w:u w:val="single"/>
          <w:lang w:bidi="ar-SA"/>
        </w:rPr>
      </w:pPr>
    </w:p>
    <w:p w14:paraId="056E7CB5" w14:textId="77777777" w:rsidR="00F43D6C" w:rsidRDefault="00F43D6C" w:rsidP="00F43D6C">
      <w:pPr>
        <w:pStyle w:val="EECON-Section"/>
        <w:rPr>
          <w:sz w:val="18"/>
          <w:szCs w:val="18"/>
        </w:rPr>
        <w:sectPr w:rsidR="00F43D6C" w:rsidSect="00F43D6C">
          <w:pgSz w:w="12240" w:h="15840" w:code="1"/>
          <w:pgMar w:top="1644" w:right="1191" w:bottom="1644" w:left="1191" w:header="720" w:footer="720" w:gutter="0"/>
          <w:cols w:space="288"/>
          <w:docGrid w:linePitch="360"/>
        </w:sectPr>
      </w:pPr>
    </w:p>
    <w:p w14:paraId="7AB2E2F9" w14:textId="77777777" w:rsidR="00F43D6C" w:rsidRPr="00254CE6" w:rsidRDefault="00F43D6C" w:rsidP="00F43D6C">
      <w:pPr>
        <w:pStyle w:val="EECON-Section"/>
      </w:pPr>
      <w:r w:rsidRPr="00254CE6">
        <w:t>ABSTRACT</w:t>
      </w:r>
    </w:p>
    <w:p w14:paraId="3BBA65A4" w14:textId="77777777" w:rsidR="00F43D6C" w:rsidRDefault="00F43D6C" w:rsidP="00F43D6C">
      <w:pPr>
        <w:pStyle w:val="EECON-Content"/>
        <w:rPr>
          <w:rFonts w:cs="Times New Roman"/>
          <w:szCs w:val="20"/>
        </w:rPr>
        <w:sectPr w:rsidR="00F43D6C" w:rsidSect="00074B47">
          <w:type w:val="continuous"/>
          <w:pgSz w:w="12240" w:h="15840" w:code="1"/>
          <w:pgMar w:top="1644" w:right="1191" w:bottom="1644" w:left="1191" w:header="720" w:footer="720" w:gutter="0"/>
          <w:cols w:space="288"/>
          <w:docGrid w:linePitch="360"/>
        </w:sectPr>
      </w:pPr>
    </w:p>
    <w:p w14:paraId="78DA0FBA" w14:textId="77777777" w:rsidR="00F43D6C" w:rsidRPr="00F43D6C" w:rsidRDefault="00F43D6C" w:rsidP="00F43D6C">
      <w:pPr>
        <w:jc w:val="thaiDistribute"/>
        <w:rPr>
          <w:b/>
          <w:bCs/>
          <w:sz w:val="22"/>
          <w:szCs w:val="24"/>
        </w:rPr>
      </w:pPr>
      <w:r w:rsidRPr="00F43D6C">
        <w:rPr>
          <w:sz w:val="22"/>
          <w:szCs w:val="24"/>
        </w:rPr>
        <w:t xml:space="preserve">Vancomycin-resistant enterococci are important causes of healthcare-associated infections. The assembly of biofilms by bacteria is a crucial factor, resulting in treatment failures. There has been significant interest in assessing the possible relationship between the multidrug-resistant (MDR) status and the biofilm-producer phenotype in bacteria. The aim of this study was to explore the prevalence of biofilm formation by VRE isolates to spot virulence factors relate to biofilm formation. During this study, 92 VRE isolates from clinical specimens were obtained from different wards during a tertiary care hospital, in southern a part of Thailand. Then, enterococcus species were identified using conventional microbiological methods. The antibiotic susceptibility patterns of the isolates were determined by the Kirby-Bauer disk-diffusion. All VRE isolates were analyzed for determination of biofilm-related genes, virulence genes using multiplex PCR method, and microtiter plate methods want to assess the flexibility of biofilm formation. Of 86 VRE isolates, 93.5% were recognized as multidrug-resistant VRE and 6.5% of them were extremely resistant VRE, with the rates of resistance to ampicillin, imipenem, and </w:t>
      </w:r>
      <w:proofErr w:type="spellStart"/>
      <w:r w:rsidRPr="00F43D6C">
        <w:rPr>
          <w:sz w:val="22"/>
          <w:szCs w:val="24"/>
        </w:rPr>
        <w:t>cefoperazone</w:t>
      </w:r>
      <w:proofErr w:type="spellEnd"/>
      <w:r w:rsidRPr="00F43D6C">
        <w:rPr>
          <w:sz w:val="22"/>
          <w:szCs w:val="24"/>
        </w:rPr>
        <w:t xml:space="preserve"> reaching high levels (90-100%). It also found that fifty of E. faecium isolates were resistant to colistin. The </w:t>
      </w:r>
      <w:proofErr w:type="spellStart"/>
      <w:r w:rsidRPr="00F43D6C">
        <w:rPr>
          <w:i/>
          <w:iCs/>
          <w:sz w:val="22"/>
          <w:szCs w:val="24"/>
        </w:rPr>
        <w:t>vanA</w:t>
      </w:r>
      <w:proofErr w:type="spellEnd"/>
      <w:r w:rsidRPr="00F43D6C">
        <w:rPr>
          <w:sz w:val="22"/>
          <w:szCs w:val="24"/>
        </w:rPr>
        <w:t xml:space="preserve"> gene was detected all told VRE isolates, whereas the </w:t>
      </w:r>
      <w:proofErr w:type="spellStart"/>
      <w:r w:rsidRPr="00F43D6C">
        <w:rPr>
          <w:i/>
          <w:iCs/>
          <w:sz w:val="22"/>
          <w:szCs w:val="24"/>
        </w:rPr>
        <w:t>vanB</w:t>
      </w:r>
      <w:proofErr w:type="spellEnd"/>
      <w:r w:rsidRPr="00F43D6C">
        <w:rPr>
          <w:sz w:val="22"/>
          <w:szCs w:val="24"/>
        </w:rPr>
        <w:t xml:space="preserve">, </w:t>
      </w:r>
      <w:proofErr w:type="spellStart"/>
      <w:r w:rsidRPr="00F43D6C">
        <w:rPr>
          <w:i/>
          <w:iCs/>
          <w:sz w:val="22"/>
          <w:szCs w:val="24"/>
        </w:rPr>
        <w:t>vanC</w:t>
      </w:r>
      <w:proofErr w:type="spellEnd"/>
      <w:r w:rsidRPr="00F43D6C">
        <w:rPr>
          <w:i/>
          <w:iCs/>
          <w:sz w:val="22"/>
          <w:szCs w:val="24"/>
        </w:rPr>
        <w:t xml:space="preserve"> </w:t>
      </w:r>
      <w:r w:rsidRPr="00F43D6C">
        <w:rPr>
          <w:sz w:val="22"/>
          <w:szCs w:val="24"/>
        </w:rPr>
        <w:t>weren't found in any of those isolates. The enterococcal surface protein (</w:t>
      </w:r>
      <w:proofErr w:type="spellStart"/>
      <w:r w:rsidRPr="00F43D6C">
        <w:rPr>
          <w:i/>
          <w:iCs/>
          <w:sz w:val="22"/>
          <w:szCs w:val="24"/>
        </w:rPr>
        <w:t>esp</w:t>
      </w:r>
      <w:proofErr w:type="spellEnd"/>
      <w:r w:rsidRPr="00F43D6C">
        <w:rPr>
          <w:sz w:val="22"/>
          <w:szCs w:val="24"/>
        </w:rPr>
        <w:t>) and hyaluronidase (</w:t>
      </w:r>
      <w:proofErr w:type="spellStart"/>
      <w:r w:rsidRPr="00F43D6C">
        <w:rPr>
          <w:i/>
          <w:iCs/>
          <w:sz w:val="22"/>
          <w:szCs w:val="24"/>
        </w:rPr>
        <w:t>hyl</w:t>
      </w:r>
      <w:proofErr w:type="spellEnd"/>
      <w:r w:rsidRPr="00F43D6C">
        <w:rPr>
          <w:sz w:val="22"/>
          <w:szCs w:val="24"/>
        </w:rPr>
        <w:t xml:space="preserve">) genes were present in 84 (91.3%) and 5 (5.4%), respectively. But, the </w:t>
      </w:r>
      <w:r w:rsidRPr="00F43D6C">
        <w:rPr>
          <w:i/>
          <w:iCs/>
          <w:sz w:val="22"/>
          <w:szCs w:val="24"/>
        </w:rPr>
        <w:t>gel</w:t>
      </w:r>
      <w:r w:rsidRPr="00F43D6C">
        <w:rPr>
          <w:sz w:val="22"/>
          <w:szCs w:val="24"/>
        </w:rPr>
        <w:t xml:space="preserve">, </w:t>
      </w:r>
      <w:proofErr w:type="spellStart"/>
      <w:r w:rsidRPr="00F43D6C">
        <w:rPr>
          <w:i/>
          <w:iCs/>
          <w:sz w:val="22"/>
          <w:szCs w:val="24"/>
        </w:rPr>
        <w:t>cyt</w:t>
      </w:r>
      <w:proofErr w:type="spellEnd"/>
      <w:r w:rsidRPr="00F43D6C">
        <w:rPr>
          <w:sz w:val="22"/>
          <w:szCs w:val="24"/>
        </w:rPr>
        <w:t xml:space="preserve">, </w:t>
      </w:r>
      <w:proofErr w:type="spellStart"/>
      <w:r w:rsidRPr="00F43D6C">
        <w:rPr>
          <w:i/>
          <w:iCs/>
          <w:sz w:val="22"/>
          <w:szCs w:val="24"/>
        </w:rPr>
        <w:t>cpd</w:t>
      </w:r>
      <w:proofErr w:type="spellEnd"/>
      <w:r w:rsidRPr="00F43D6C">
        <w:rPr>
          <w:sz w:val="22"/>
          <w:szCs w:val="24"/>
        </w:rPr>
        <w:t xml:space="preserve">, and </w:t>
      </w:r>
      <w:proofErr w:type="spellStart"/>
      <w:r w:rsidRPr="00F43D6C">
        <w:rPr>
          <w:i/>
          <w:iCs/>
          <w:sz w:val="22"/>
          <w:szCs w:val="24"/>
        </w:rPr>
        <w:t>ebp</w:t>
      </w:r>
      <w:proofErr w:type="spellEnd"/>
      <w:r w:rsidRPr="00F43D6C">
        <w:rPr>
          <w:sz w:val="22"/>
          <w:szCs w:val="24"/>
        </w:rPr>
        <w:t xml:space="preserve"> genes were absent from all isolates. Overall, 51.1% of MDR-VRE and 23.9% of XDR-VRE isolates were biofilm producers, respectively. Interestingly, the clinical strain with </w:t>
      </w:r>
      <w:proofErr w:type="spellStart"/>
      <w:r w:rsidRPr="00F43D6C">
        <w:rPr>
          <w:i/>
          <w:iCs/>
          <w:sz w:val="22"/>
          <w:szCs w:val="24"/>
        </w:rPr>
        <w:t>hyl</w:t>
      </w:r>
      <w:proofErr w:type="spellEnd"/>
      <w:r w:rsidRPr="00F43D6C">
        <w:rPr>
          <w:sz w:val="22"/>
          <w:szCs w:val="24"/>
        </w:rPr>
        <w:t xml:space="preserve"> negative was produce biofilm forming than </w:t>
      </w:r>
      <w:proofErr w:type="spellStart"/>
      <w:r w:rsidRPr="00F43D6C">
        <w:rPr>
          <w:i/>
          <w:iCs/>
          <w:sz w:val="22"/>
          <w:szCs w:val="24"/>
        </w:rPr>
        <w:t>esp</w:t>
      </w:r>
      <w:proofErr w:type="spellEnd"/>
      <w:r w:rsidRPr="00F43D6C">
        <w:rPr>
          <w:sz w:val="22"/>
          <w:szCs w:val="24"/>
        </w:rPr>
        <w:t xml:space="preserve"> positive among VRE isolates. There wasn't a relationship between presence of those genes and biofilm formation. </w:t>
      </w:r>
      <w:proofErr w:type="spellStart"/>
      <w:r w:rsidRPr="00F43D6C">
        <w:rPr>
          <w:sz w:val="22"/>
          <w:szCs w:val="24"/>
        </w:rPr>
        <w:t>Sulperazone</w:t>
      </w:r>
      <w:proofErr w:type="spellEnd"/>
      <w:r w:rsidRPr="00F43D6C">
        <w:rPr>
          <w:sz w:val="22"/>
          <w:szCs w:val="24"/>
        </w:rPr>
        <w:t xml:space="preserve">, meropenem, and ertapenem could also be used as a good treatment for enterococci infection caused by biofilm producers enterococci. Our findings strengthen the role of biofilm formation in resistance to antimicrobial agents and depends on various factors but not just </w:t>
      </w:r>
      <w:proofErr w:type="spellStart"/>
      <w:r w:rsidRPr="00F43D6C">
        <w:rPr>
          <w:i/>
          <w:iCs/>
          <w:sz w:val="22"/>
          <w:szCs w:val="24"/>
        </w:rPr>
        <w:t>esp</w:t>
      </w:r>
      <w:proofErr w:type="spellEnd"/>
      <w:r w:rsidRPr="00F43D6C">
        <w:rPr>
          <w:i/>
          <w:iCs/>
          <w:sz w:val="22"/>
          <w:szCs w:val="24"/>
        </w:rPr>
        <w:t xml:space="preserve"> </w:t>
      </w:r>
      <w:r w:rsidRPr="00F43D6C">
        <w:rPr>
          <w:sz w:val="22"/>
          <w:szCs w:val="24"/>
        </w:rPr>
        <w:t>and</w:t>
      </w:r>
      <w:r w:rsidRPr="00F43D6C">
        <w:rPr>
          <w:i/>
          <w:iCs/>
          <w:sz w:val="22"/>
          <w:szCs w:val="24"/>
        </w:rPr>
        <w:t xml:space="preserve"> </w:t>
      </w:r>
      <w:proofErr w:type="spellStart"/>
      <w:r w:rsidRPr="00F43D6C">
        <w:rPr>
          <w:i/>
          <w:iCs/>
          <w:sz w:val="22"/>
          <w:szCs w:val="24"/>
        </w:rPr>
        <w:t>hyl</w:t>
      </w:r>
      <w:proofErr w:type="spellEnd"/>
      <w:r w:rsidRPr="00F43D6C">
        <w:rPr>
          <w:sz w:val="22"/>
          <w:szCs w:val="24"/>
        </w:rPr>
        <w:t xml:space="preserve"> genes in VRE strains.</w:t>
      </w:r>
    </w:p>
    <w:p w14:paraId="26DCF03D" w14:textId="77777777" w:rsidR="00F43D6C" w:rsidRDefault="00F43D6C" w:rsidP="00F43D6C">
      <w:pPr>
        <w:jc w:val="thaiDistribute"/>
        <w:rPr>
          <w:b/>
          <w:bCs/>
          <w:sz w:val="22"/>
          <w:szCs w:val="24"/>
        </w:rPr>
      </w:pPr>
    </w:p>
    <w:p w14:paraId="04F92CBB" w14:textId="77777777" w:rsidR="00F43D6C" w:rsidRPr="00221545" w:rsidRDefault="00F43D6C" w:rsidP="00F43D6C">
      <w:r w:rsidRPr="00221545">
        <w:rPr>
          <w:b/>
          <w:bCs/>
        </w:rPr>
        <w:t>Keywords:</w:t>
      </w:r>
      <w:r w:rsidRPr="00221545">
        <w:t xml:space="preserve">  Antimicrobial resistance, biofilm, vancomycin resistance </w:t>
      </w:r>
      <w:r w:rsidRPr="00221545">
        <w:rPr>
          <w:i/>
          <w:iCs/>
        </w:rPr>
        <w:t>E. faecium</w:t>
      </w:r>
      <w:r w:rsidRPr="00221545">
        <w:t>, virulence genes</w:t>
      </w:r>
    </w:p>
    <w:p w14:paraId="609A59E4" w14:textId="56341380" w:rsidR="00F43D6C" w:rsidRPr="00F43D6C" w:rsidRDefault="00F43D6C" w:rsidP="00F43D6C">
      <w:pPr>
        <w:jc w:val="thaiDistribute"/>
        <w:rPr>
          <w:b/>
          <w:bCs/>
          <w:sz w:val="22"/>
          <w:szCs w:val="24"/>
        </w:rPr>
        <w:sectPr w:rsidR="00F43D6C" w:rsidRPr="00F43D6C" w:rsidSect="00074B47">
          <w:type w:val="continuous"/>
          <w:pgSz w:w="12240" w:h="15840" w:code="1"/>
          <w:pgMar w:top="1644" w:right="1191" w:bottom="1644" w:left="1191" w:header="720" w:footer="720" w:gutter="0"/>
          <w:cols w:space="288"/>
          <w:docGrid w:linePitch="360"/>
        </w:sectPr>
      </w:pPr>
    </w:p>
    <w:p w14:paraId="29FCC3B1" w14:textId="77777777" w:rsidR="00F43D6C" w:rsidRPr="00F43D6C" w:rsidRDefault="00F43D6C" w:rsidP="00F43D6C">
      <w:pPr>
        <w:jc w:val="thaiDistribute"/>
        <w:rPr>
          <w:b/>
          <w:bCs/>
          <w:sz w:val="22"/>
          <w:szCs w:val="24"/>
        </w:rPr>
        <w:sectPr w:rsidR="00F43D6C" w:rsidRPr="00F43D6C" w:rsidSect="00074B47">
          <w:type w:val="continuous"/>
          <w:pgSz w:w="12240" w:h="15840" w:code="1"/>
          <w:pgMar w:top="1644" w:right="1191" w:bottom="1644" w:left="1191" w:header="720" w:footer="720" w:gutter="0"/>
          <w:cols w:space="288"/>
          <w:docGrid w:linePitch="360"/>
        </w:sectPr>
      </w:pPr>
    </w:p>
    <w:p w14:paraId="5DA818CE" w14:textId="77777777" w:rsidR="00F43D6C" w:rsidRDefault="00F43D6C" w:rsidP="00F43D6C">
      <w:pPr>
        <w:pStyle w:val="EECON-Content"/>
        <w:rPr>
          <w:b/>
          <w:bCs/>
          <w:szCs w:val="20"/>
        </w:rPr>
        <w:sectPr w:rsidR="00F43D6C" w:rsidSect="00074B47">
          <w:type w:val="continuous"/>
          <w:pgSz w:w="12240" w:h="15840" w:code="1"/>
          <w:pgMar w:top="1644" w:right="1191" w:bottom="1644" w:left="1191" w:header="720" w:footer="720" w:gutter="0"/>
          <w:cols w:space="288"/>
          <w:docGrid w:linePitch="360"/>
        </w:sectPr>
      </w:pPr>
    </w:p>
    <w:p w14:paraId="3A6E8F78" w14:textId="77777777" w:rsidR="00161409" w:rsidRDefault="00161409"/>
    <w:sectPr w:rsidR="001614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D6C"/>
    <w:rsid w:val="00161409"/>
    <w:rsid w:val="00480AE6"/>
    <w:rsid w:val="006934EA"/>
    <w:rsid w:val="00752CF3"/>
    <w:rsid w:val="00DA0BD8"/>
    <w:rsid w:val="00F43D6C"/>
    <w:rsid w:val="00F5222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B5B2A"/>
  <w15:chartTrackingRefBased/>
  <w15:docId w15:val="{65C47D46-F2D7-476D-9F2F-594B5F12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6C"/>
    <w:pPr>
      <w:spacing w:after="0" w:line="240" w:lineRule="auto"/>
    </w:pPr>
    <w:rPr>
      <w:rFonts w:ascii="Times New Roman" w:eastAsia="Times New Roman" w:hAnsi="Times New Roman" w:cs="Angsana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F43D6C"/>
    <w:pPr>
      <w:spacing w:after="80"/>
      <w:jc w:val="center"/>
    </w:pPr>
    <w:rPr>
      <w:rFonts w:ascii="Cordia New" w:eastAsia="Cordia New" w:hAnsi="Cordia New" w:cs="Cordia New"/>
      <w:sz w:val="32"/>
      <w:szCs w:val="32"/>
      <w:lang w:bidi="ar-SA"/>
    </w:rPr>
  </w:style>
  <w:style w:type="paragraph" w:customStyle="1" w:styleId="EECON-Content">
    <w:name w:val="EECON-Content"/>
    <w:basedOn w:val="Normal"/>
    <w:link w:val="EECON-Content0"/>
    <w:qFormat/>
    <w:rsid w:val="00F43D6C"/>
    <w:pPr>
      <w:jc w:val="both"/>
    </w:pPr>
    <w:rPr>
      <w:sz w:val="20"/>
      <w:szCs w:val="24"/>
    </w:rPr>
  </w:style>
  <w:style w:type="character" w:customStyle="1" w:styleId="EECON-Content0">
    <w:name w:val="EECON-Content อักขระ"/>
    <w:link w:val="EECON-Content"/>
    <w:rsid w:val="00F43D6C"/>
    <w:rPr>
      <w:rFonts w:ascii="Times New Roman" w:eastAsia="Times New Roman" w:hAnsi="Times New Roman" w:cs="Angsana New"/>
      <w:sz w:val="20"/>
      <w:szCs w:val="24"/>
    </w:rPr>
  </w:style>
  <w:style w:type="paragraph" w:customStyle="1" w:styleId="EECON-Section">
    <w:name w:val="EECON-Section"/>
    <w:basedOn w:val="EECON-Content"/>
    <w:next w:val="EECON-Content"/>
    <w:link w:val="EECON-Section0"/>
    <w:qFormat/>
    <w:rsid w:val="00F43D6C"/>
    <w:rPr>
      <w:b/>
      <w:bCs/>
      <w:sz w:val="22"/>
      <w:szCs w:val="28"/>
    </w:rPr>
  </w:style>
  <w:style w:type="character" w:customStyle="1" w:styleId="EECON-Section0">
    <w:name w:val="EECON-Section อักขระ"/>
    <w:link w:val="EECON-Section"/>
    <w:rsid w:val="00F43D6C"/>
    <w:rPr>
      <w:rFonts w:ascii="Times New Roman" w:eastAsia="Times New Roman" w:hAnsi="Times New Roman" w:cs="Angsana New"/>
      <w:b/>
      <w:bCs/>
    </w:rPr>
  </w:style>
  <w:style w:type="paragraph" w:styleId="FootnoteText">
    <w:name w:val="footnote text"/>
    <w:basedOn w:val="Normal"/>
    <w:link w:val="FootnoteTextChar"/>
    <w:unhideWhenUsed/>
    <w:rsid w:val="00F43D6C"/>
    <w:rPr>
      <w:rFonts w:ascii="Calibri" w:eastAsia="MS Mincho" w:hAnsi="Calibri" w:cs="Times New Roman"/>
      <w:sz w:val="20"/>
      <w:szCs w:val="20"/>
      <w:lang w:bidi="ar-SA"/>
    </w:rPr>
  </w:style>
  <w:style w:type="character" w:customStyle="1" w:styleId="FootnoteTextChar">
    <w:name w:val="Footnote Text Char"/>
    <w:basedOn w:val="DefaultParagraphFont"/>
    <w:link w:val="FootnoteText"/>
    <w:rsid w:val="00F43D6C"/>
    <w:rPr>
      <w:rFonts w:ascii="Calibri" w:eastAsia="MS Mincho" w:hAnsi="Calibri"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phanvas@medicine.psu.ac.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PHANVASRI SAENGSUWAN (พันธ์วศรี แสงสุวรรณ)</dc:creator>
  <cp:keywords/>
  <dc:description/>
  <cp:lastModifiedBy>PHANVASRI SAENGSUWAN (พันธ์วศรี แสงสุวรรณ)</cp:lastModifiedBy>
  <cp:revision>1</cp:revision>
  <dcterms:created xsi:type="dcterms:W3CDTF">2021-12-10T10:05:00Z</dcterms:created>
  <dcterms:modified xsi:type="dcterms:W3CDTF">2021-12-10T10:07:00Z</dcterms:modified>
</cp:coreProperties>
</file>