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EXPERIENCES AND ATTITUDES TOWARDS SEXUAL HARASSMENT AMONG HAWKERS RESIDING IN EDE TOWNSHIP IN OSUN STATE, NIGERIA </w:t>
      </w:r>
    </w:p>
    <w:p>
      <w:pPr>
        <w:spacing w:before="240" w:after="0" w:line="360" w:lineRule="auto"/>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Omoge Adeyemi O., Adesegun Mobolaji M., Arogundade Ayorinde O., Godfrey Sally G. Obi – Obasi Chiamaka S., Opadele Modurotolu M.</w:t>
      </w:r>
    </w:p>
    <w:p>
      <w:pPr>
        <w:spacing w:after="0" w:line="360" w:lineRule="auto"/>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Department of Public Health, Adeleke University, Ede, Osun State, Nigeria</w:t>
      </w:r>
    </w:p>
    <w:p>
      <w:pPr>
        <w:spacing w:after="0" w:line="360" w:lineRule="auto"/>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omogeadeyemi@gmail.com</w:t>
      </w:r>
    </w:p>
    <w:p>
      <w:pPr>
        <w:spacing w:before="240" w:after="0" w:line="360" w:lineRule="auto"/>
        <w:jc w:val="center"/>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ABSTRACT</w:t>
      </w:r>
    </w:p>
    <w:p>
      <w:pPr>
        <w:spacing w:before="240" w:after="0" w:line="36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 xml:space="preserve">BACKGROUND: </w:t>
      </w:r>
      <w:r>
        <w:rPr>
          <w:rFonts w:ascii="Times New Roman" w:hAnsi="Times New Roman" w:cs="Times New Roman"/>
          <w:color w:val="000000" w:themeColor="text1"/>
          <w:sz w:val="22"/>
          <w:szCs w:val="22"/>
          <w14:textFill>
            <w14:solidFill>
              <w14:schemeClr w14:val="tx1"/>
            </w14:solidFill>
          </w14:textFill>
        </w:rPr>
        <w:t xml:space="preserve">Street hawking or vending in developing countries is attracting a rising interest amongst researchers due to the various health, social, and economic implications to those who engage in the trade. This includes sexual assault which increases the vulnerability of the hawkers to diseases such as HIV/AIDS and other sexually transmitted infections, increased risk of unwanted pregnancies and unsafe abortion. </w:t>
      </w:r>
    </w:p>
    <w:p>
      <w:pPr>
        <w:spacing w:before="240" w:after="0" w:line="36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 xml:space="preserve">OBJECTIVE: </w:t>
      </w:r>
      <w:r>
        <w:rPr>
          <w:rFonts w:ascii="Times New Roman" w:hAnsi="Times New Roman" w:cs="Times New Roman"/>
          <w:color w:val="000000" w:themeColor="text1"/>
          <w:sz w:val="22"/>
          <w:szCs w:val="22"/>
          <w14:textFill>
            <w14:solidFill>
              <w14:schemeClr w14:val="tx1"/>
            </w14:solidFill>
          </w14:textFill>
        </w:rPr>
        <w:t>This study aimed to gain an understanding on the experiences and attitudes towards sexual harassment among hawkers residing in Ede Township in Osun State, Nigeria.</w:t>
      </w:r>
    </w:p>
    <w:p>
      <w:pPr>
        <w:spacing w:before="240" w:after="0" w:line="36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 xml:space="preserve">METHODOLOGY: </w:t>
      </w:r>
      <w:r>
        <w:rPr>
          <w:rFonts w:ascii="Times New Roman" w:hAnsi="Times New Roman" w:cs="Times New Roman"/>
          <w:color w:val="000000" w:themeColor="text1"/>
          <w:sz w:val="22"/>
          <w:szCs w:val="22"/>
          <w14:textFill>
            <w14:solidFill>
              <w14:schemeClr w14:val="tx1"/>
            </w14:solidFill>
          </w14:textFill>
        </w:rPr>
        <w:t>The study population comprises of hawkers in Ede Township in Ede, Osun State. Fifty respondents were reached through questionnaire titled Experiences and Attitudes towards Sexual Harassment among Hawkers Residing in Ede Township in Osun State, Nigeria.</w:t>
      </w:r>
      <w:r>
        <w:rPr>
          <w:rFonts w:ascii="Times New Roman" w:hAnsi="Times New Roman" w:cs="Times New Roman"/>
          <w:b/>
          <w:bCs/>
          <w:color w:val="000000" w:themeColor="text1"/>
          <w:sz w:val="22"/>
          <w:szCs w:val="22"/>
          <w14:textFill>
            <w14:solidFill>
              <w14:schemeClr w14:val="tx1"/>
            </w14:solidFill>
          </w14:textFill>
        </w:rPr>
        <w:t xml:space="preserve"> </w:t>
      </w:r>
      <w:r>
        <w:rPr>
          <w:rFonts w:ascii="Times New Roman" w:hAnsi="Times New Roman" w:cs="Times New Roman"/>
          <w:color w:val="000000" w:themeColor="text1"/>
          <w:sz w:val="22"/>
          <w:szCs w:val="22"/>
          <w14:textFill>
            <w14:solidFill>
              <w14:schemeClr w14:val="tx1"/>
            </w14:solidFill>
          </w14:textFill>
        </w:rPr>
        <w:t>Quantitative method was used for data collection. A self – administered 50 items questionnaire containing 4 sections was used for data collection. Data was analyzed using SPSS version 23.</w:t>
      </w:r>
    </w:p>
    <w:p>
      <w:pPr>
        <w:spacing w:before="240" w:after="0" w:line="36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 xml:space="preserve">RESULTS: </w:t>
      </w:r>
      <w:r>
        <w:rPr>
          <w:rFonts w:ascii="Times New Roman" w:hAnsi="Times New Roman" w:cs="Times New Roman"/>
          <w:bCs/>
          <w:color w:val="000000" w:themeColor="text1"/>
          <w:sz w:val="22"/>
          <w:szCs w:val="22"/>
          <w14:textFill>
            <w14:solidFill>
              <w14:schemeClr w14:val="tx1"/>
            </w14:solidFill>
          </w14:textFill>
        </w:rPr>
        <w:t xml:space="preserve">The result revealed that </w:t>
      </w:r>
      <w:r>
        <w:rPr>
          <w:rFonts w:ascii="Times New Roman" w:hAnsi="Times New Roman" w:cs="Times New Roman"/>
          <w:color w:val="000000" w:themeColor="text1"/>
          <w:sz w:val="22"/>
          <w:szCs w:val="22"/>
          <w14:textFill>
            <w14:solidFill>
              <w14:schemeClr w14:val="tx1"/>
            </w14:solidFill>
          </w14:textFill>
        </w:rPr>
        <w:t>21 (42%) were between the age of 16 – 20 years, 38 (76%) were females, 42 (84%) were Islam, 49 (98%) were Yoruba of which 39 (78%) were single. Also, 37 (74%) were students, 43 (86%) had secondary school education 14 (28%) earned 1,000 – 1,900 and 2,000 – 2,900 per day as income. 16 (32%) responded that sometimes has anyone made gesture or body language of a sexual nature to them, 45 (90%) strongly disagree that they are comfortable with people of opposite sex touching their buttocks without their consent and  44 (88%) strongly disagree that they are comfortable with people of opposite sex touching their waist without their consent.</w:t>
      </w:r>
    </w:p>
    <w:p>
      <w:pPr>
        <w:spacing w:before="240" w:after="0" w:line="36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CONCLUSION:</w:t>
      </w:r>
      <w:r>
        <w:rPr>
          <w:rFonts w:ascii="Times New Roman" w:hAnsi="Times New Roman" w:cs="Times New Roman"/>
          <w:color w:val="000000" w:themeColor="text1"/>
          <w:sz w:val="22"/>
          <w:szCs w:val="22"/>
          <w14:textFill>
            <w14:solidFill>
              <w14:schemeClr w14:val="tx1"/>
            </w14:solidFill>
          </w14:textFill>
        </w:rPr>
        <w:t xml:space="preserve"> In conclusion, street hawking is a variant and a very visible phenomenon in our society. It is largely due to poverty and underdevelopment. The hawkers are exposed to many risks of which sexual abuse is a prominent component. The government needs to vigorously pursue poverty alleviation measures to improve the general </w:t>
      </w:r>
      <w:r>
        <w:rPr>
          <w:rFonts w:ascii="Times New Roman" w:hAnsi="Times New Roman" w:cs="Times New Roman"/>
          <w:color w:val="000000" w:themeColor="text1"/>
          <w:sz w:val="22"/>
          <w:szCs w:val="22"/>
          <w:lang w:val="en-US"/>
          <w14:textFill>
            <w14:solidFill>
              <w14:schemeClr w14:val="tx1"/>
            </w14:solidFill>
          </w14:textFill>
        </w:rPr>
        <w:t>socio-economic</w:t>
      </w:r>
      <w:r>
        <w:rPr>
          <w:rFonts w:ascii="Times New Roman" w:hAnsi="Times New Roman" w:cs="Times New Roman"/>
          <w:color w:val="000000" w:themeColor="text1"/>
          <w:sz w:val="22"/>
          <w:szCs w:val="22"/>
          <w14:textFill>
            <w14:solidFill>
              <w14:schemeClr w14:val="tx1"/>
            </w14:solidFill>
          </w14:textFill>
        </w:rPr>
        <w:t xml:space="preserve"> status of majority of the population. There is also need to give sex education to all young people with emphasis on risk reduction measures. </w:t>
      </w:r>
    </w:p>
    <w:p>
      <w:pPr>
        <w:spacing w:before="240"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Keywords: Experience, Attitudes, Sexual Harassment, Hawkers</w:t>
      </w:r>
    </w:p>
    <w:p>
      <w:pPr>
        <w:spacing w:line="360" w:lineRule="auto"/>
        <w:jc w:val="both"/>
        <w:rPr>
          <w:rFonts w:ascii="Times New Roman" w:hAnsi="Times New Roman" w:cs="Times New Roman"/>
          <w:b/>
          <w:color w:val="000000" w:themeColor="text1"/>
          <w:sz w:val="22"/>
          <w:szCs w:val="22"/>
          <w14:textFill>
            <w14:solidFill>
              <w14:schemeClr w14:val="tx1"/>
            </w14:solidFill>
          </w14:textFill>
        </w:rPr>
        <w:sectPr>
          <w:pgSz w:w="11907" w:h="16839"/>
          <w:pgMar w:top="1170" w:right="1440" w:bottom="990" w:left="1440" w:header="720" w:footer="720" w:gutter="0"/>
          <w:pgNumType w:fmt="lowerRoman"/>
          <w:cols w:space="720" w:num="1"/>
          <w:titlePg/>
          <w:docGrid w:linePitch="360" w:charSpace="0"/>
        </w:sectPr>
      </w:pPr>
    </w:p>
    <w:p>
      <w:pPr>
        <w:spacing w:before="240"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INTRODUCTION</w:t>
      </w:r>
    </w:p>
    <w:p>
      <w:pPr>
        <w:spacing w:before="240"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 xml:space="preserve">Street hawking or vending in developing countries is attracting a rising interest amongst researchers (Olutunde, 2013; Ugochukwu et al., 2012) due to the various health, social, and economic implications to those who engage in the trade (Amoo et al., 2012; Esin et al., 2005; Ashimolowo et al., 2010). Developing countries are faced with exponential growth giving rise to rural-urban drift in search of a better means of livelihood (Hoyamo and Keenan, 2007). Street hawking irrespective of who (age and sex) engages in it, is associated with major hazards (Lee, 2004; Lu, 2011). This includes sexual assault which increases the vulnerability of the hawkers to diseases such as HIV/AIDS and other sexually transmitted infections, increased risk of unwanted pregnancies and unsafe abortion (Lee, 2004; Lu, 2011; Kwankye et al., 2007). </w:t>
      </w:r>
    </w:p>
    <w:p>
      <w:pPr>
        <w:spacing w:before="240"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 xml:space="preserve">Other hazards include physical assaults, mobbing, involvement in road traffic accidents, kidnapping and ritual killings. Street hawking leads to increased exposure to antisocial activities like smoking, drug and alcohol abuse, cultism and crime (Ugochukwu et al., 2012; Amoo et al., 2012; Esin et al., 2005; Ashimolowo et al., 2010; Hoyamo and Keenan, 2007; Ekpenyong and Nkereuwuem, 2011). The incidence of street hawking in Nigeria, has been related to the high rates of unemployment, poverty, inflation, poor school performance, unstable families, peer group influence, large family size and poor parental care (Fawole et al., 2003). Poverty has been given as a major factor for engaging in street hawking due to the need to compensate for the family income (Onuzulike, 2007). </w:t>
      </w:r>
    </w:p>
    <w:p>
      <w:pPr>
        <w:spacing w:before="240"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Street hawking defaces the environment from littering by people who buy the goods sold by the hawkers (Kwankye et al., 2007). This adds to environmental pollution when the available drainages are blocked leading to flooding and increased breeding of vectors especially during the rainy season. The health of residents who live around these areas is jeopardized due to the increased prevalence of communicable diseases. There is an increased risk of physical injuries sustained by the hawkers when they carry their goods on their heads or hands and run after moving vehicles in an attempt to ensure their sales are completed. This in addition contributes to the impediment in the flow of traffic as they flood these major roads and junctions (Amoo et al., 2012).</w:t>
      </w:r>
    </w:p>
    <w:p>
      <w:pPr>
        <w:spacing w:before="240"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Roman" w:hAnsi="Times-Roman"/>
          <w:color w:val="000000" w:themeColor="text1"/>
          <w:sz w:val="22"/>
          <w:szCs w:val="22"/>
          <w14:textFill>
            <w14:solidFill>
              <w14:schemeClr w14:val="tx1"/>
            </w14:solidFill>
          </w14:textFill>
        </w:rPr>
        <w:t>Sexual harassment also has physical and psychological effects, economic effects, and social effects which posed challenge to both the victims and the organizations. The International Labour Organization guideline (2010) identified the effects to include the following: Sexual harassment affects the women economic self sufficiency, posttraumatic stress and disorder, publicly harassed by the victims, weakening of support network from colleagues, loss of productivity, decreased employee morale, labour turnover, lost of productivity and low economic profile, loss of goodwill of the victim and the organization. (ILO,2010).</w:t>
      </w:r>
    </w:p>
    <w:p>
      <w:pPr>
        <w:spacing w:before="240" w:after="0" w:line="360" w:lineRule="auto"/>
        <w:jc w:val="both"/>
        <w:rPr>
          <w:rFonts w:ascii="Times New Roman" w:hAnsi="Times New Roman" w:cs="Times New Roman"/>
          <w:b/>
          <w:color w:val="000000" w:themeColor="text1"/>
          <w:sz w:val="22"/>
          <w:szCs w:val="22"/>
          <w14:textFill>
            <w14:solidFill>
              <w14:schemeClr w14:val="tx1"/>
            </w14:solidFill>
          </w14:textFill>
        </w:rPr>
      </w:pPr>
    </w:p>
    <w:p>
      <w:pPr>
        <w:spacing w:before="240"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METHODS</w:t>
      </w:r>
    </w:p>
    <w:p>
      <w:pPr>
        <w:spacing w:before="240"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Study Area</w:t>
      </w:r>
    </w:p>
    <w:p>
      <w:pPr>
        <w:spacing w:before="240"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The study was carried out in Ede Township. Ede is one of the Local Government Area in Osun State located in the south – west part of Nigeria and the indigenes are Yoruba language speaking. It lies along the Osun River at a point on the railroad from Lagos, 112 miles (80km) southwest, and at the intercession road from Oshogbo, Ogbomosho and Ife. Ede is one of the older towns of the Yoruba people. Ede is predominantly Muslim town with about 90% of the population. Ede is well known as a Hospitable Land.</w:t>
      </w:r>
      <w:r>
        <w:rPr>
          <w:rFonts w:ascii="Times New Roman" w:hAnsi="Times New Roman" w:cs="Times New Roman"/>
          <w:b/>
          <w:color w:val="000000" w:themeColor="text1"/>
          <w:sz w:val="22"/>
          <w:szCs w:val="22"/>
          <w14:textFill>
            <w14:solidFill>
              <w14:schemeClr w14:val="tx1"/>
            </w14:solidFill>
          </w14:textFill>
        </w:rPr>
        <w:tab/>
      </w:r>
    </w:p>
    <w:p>
      <w:pPr>
        <w:spacing w:before="240" w:after="0" w:line="36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Study Population</w:t>
      </w:r>
    </w:p>
    <w:p>
      <w:pPr>
        <w:spacing w:before="240" w:after="0" w:line="36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 xml:space="preserve">The study population comprises of hawkers in Ede Township in Ede, Osun State. </w:t>
      </w:r>
      <w:r>
        <w:rPr>
          <w:rFonts w:ascii="Times-Roman" w:hAnsi="Times-Roman"/>
          <w:color w:val="000000" w:themeColor="text1"/>
          <w:sz w:val="22"/>
          <w:szCs w:val="22"/>
          <w14:textFill>
            <w14:solidFill>
              <w14:schemeClr w14:val="tx1"/>
            </w14:solidFill>
          </w14:textFill>
        </w:rPr>
        <w:t xml:space="preserve">The </w:t>
      </w:r>
      <w:r>
        <w:rPr>
          <w:rFonts w:ascii="Times New Roman" w:hAnsi="Times New Roman" w:cs="Times New Roman"/>
          <w:color w:val="000000" w:themeColor="text1"/>
          <w:sz w:val="22"/>
          <w:szCs w:val="22"/>
          <w14:textFill>
            <w14:solidFill>
              <w14:schemeClr w14:val="tx1"/>
            </w14:solidFill>
          </w14:textFill>
        </w:rPr>
        <w:t>respondents numbering sixty (50) were reached through questionnaire titled Experiences and Attitudes towards Sexual Harassment among Hawkers Residing in Ede Township in Osun State, Nigeria.</w:t>
      </w:r>
      <w:r>
        <w:rPr>
          <w:rFonts w:ascii="Times New Roman" w:hAnsi="Times New Roman" w:cs="Times New Roman"/>
          <w:b/>
          <w:bCs/>
          <w:color w:val="000000" w:themeColor="text1"/>
          <w:sz w:val="22"/>
          <w:szCs w:val="22"/>
          <w14:textFill>
            <w14:solidFill>
              <w14:schemeClr w14:val="tx1"/>
            </w14:solidFill>
          </w14:textFill>
        </w:rPr>
        <w:t xml:space="preserve"> </w:t>
      </w:r>
    </w:p>
    <w:p>
      <w:pPr>
        <w:spacing w:before="240"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Study Design and Sampling</w:t>
      </w:r>
    </w:p>
    <w:p>
      <w:pPr>
        <w:spacing w:before="240"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 cross – sectional descriptive method was adopted. A systematic random sampling method was used in selecting the respondents from Ede Township in Osun State, Nigeria.</w:t>
      </w:r>
      <w:r>
        <w:rPr>
          <w:rFonts w:ascii="Times New Roman" w:hAnsi="Times New Roman" w:cs="Times New Roman"/>
          <w:b/>
          <w:color w:val="000000" w:themeColor="text1"/>
          <w:sz w:val="22"/>
          <w:szCs w:val="22"/>
          <w14:textFill>
            <w14:solidFill>
              <w14:schemeClr w14:val="tx1"/>
            </w14:solidFill>
          </w14:textFill>
        </w:rPr>
        <w:t xml:space="preserve"> </w:t>
      </w:r>
    </w:p>
    <w:p>
      <w:pPr>
        <w:spacing w:before="240"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Data Collection Methods</w:t>
      </w:r>
    </w:p>
    <w:p>
      <w:pPr>
        <w:spacing w:before="240"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Cs/>
          <w:color w:val="000000" w:themeColor="text1"/>
          <w:sz w:val="22"/>
          <w:szCs w:val="22"/>
          <w14:textFill>
            <w14:solidFill>
              <w14:schemeClr w14:val="tx1"/>
            </w14:solidFill>
          </w14:textFill>
        </w:rPr>
        <w:t xml:space="preserve">Information was collected using </w:t>
      </w:r>
      <w:r>
        <w:rPr>
          <w:rFonts w:ascii="Times New Roman" w:hAnsi="Times New Roman" w:cs="Times New Roman"/>
          <w:color w:val="000000" w:themeColor="text1"/>
          <w:sz w:val="22"/>
          <w:szCs w:val="22"/>
          <w14:textFill>
            <w14:solidFill>
              <w14:schemeClr w14:val="tx1"/>
            </w14:solidFill>
          </w14:textFill>
        </w:rPr>
        <w:t>self – administered questionnaire. Questionnaire was pretested and used to collect data from the sample of population. 50 hawkers were sampled and administered questionnaires to. The questionnaire comprised of questions on Socio – Demographic information, Offensive attention/behaviours experienced by hawkers and Attitudes of hawkers towards sexual harassment.</w:t>
      </w:r>
    </w:p>
    <w:p>
      <w:pPr>
        <w:spacing w:before="240"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Data Analysis</w:t>
      </w:r>
      <w:r>
        <w:rPr>
          <w:rFonts w:ascii="Times New Roman" w:hAnsi="Times New Roman" w:cs="Times New Roman"/>
          <w:color w:val="000000" w:themeColor="text1"/>
          <w:sz w:val="22"/>
          <w:szCs w:val="22"/>
          <w14:textFill>
            <w14:solidFill>
              <w14:schemeClr w14:val="tx1"/>
            </w14:solidFill>
          </w14:textFill>
        </w:rPr>
        <w:t xml:space="preserve"> </w:t>
      </w:r>
    </w:p>
    <w:p>
      <w:pPr>
        <w:spacing w:before="240" w:after="0" w:line="36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 xml:space="preserve">The responses of the respondents were analyzed using Statistical Package for Service Solutions (SPSS) Version 23. The computation was done using tables, charts, means and simple percentages. </w:t>
      </w:r>
    </w:p>
    <w:p>
      <w:pPr>
        <w:spacing w:before="240" w:after="0" w:line="360" w:lineRule="auto"/>
        <w:jc w:val="both"/>
        <w:rPr>
          <w:rFonts w:ascii="Times New Roman" w:hAnsi="Times New Roman" w:cs="Times New Roman"/>
          <w:b/>
          <w:color w:val="000000" w:themeColor="text1"/>
          <w:sz w:val="22"/>
          <w:szCs w:val="22"/>
          <w14:textFill>
            <w14:solidFill>
              <w14:schemeClr w14:val="tx1"/>
            </w14:solidFill>
          </w14:textFill>
        </w:rPr>
        <w:sectPr>
          <w:type w:val="continuous"/>
          <w:pgSz w:w="11907" w:h="16839"/>
          <w:pgMar w:top="1170" w:right="1440" w:bottom="1350" w:left="1440" w:header="720" w:footer="720" w:gutter="0"/>
          <w:pgNumType w:fmt="lowerRoman"/>
          <w:cols w:space="720" w:num="1"/>
          <w:titlePg/>
          <w:docGrid w:linePitch="360" w:charSpace="0"/>
        </w:sectPr>
      </w:pPr>
    </w:p>
    <w:p>
      <w:pPr>
        <w:spacing w:before="240" w:after="0" w:line="36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Ethical Consideration</w:t>
      </w:r>
      <w:r>
        <w:rPr>
          <w:rFonts w:ascii="Times New Roman" w:hAnsi="Times New Roman" w:cs="Times New Roman"/>
          <w:b/>
          <w:bCs/>
          <w:color w:val="000000" w:themeColor="text1"/>
          <w:sz w:val="22"/>
          <w:szCs w:val="22"/>
          <w14:textFill>
            <w14:solidFill>
              <w14:schemeClr w14:val="tx1"/>
            </w14:solidFill>
          </w14:textFill>
        </w:rPr>
        <w:tab/>
      </w:r>
      <w:r>
        <w:rPr>
          <w:rFonts w:ascii="Times New Roman" w:hAnsi="Times New Roman" w:cs="Times New Roman"/>
          <w:b/>
          <w:bCs/>
          <w:color w:val="000000" w:themeColor="text1"/>
          <w:sz w:val="22"/>
          <w:szCs w:val="22"/>
          <w14:textFill>
            <w14:solidFill>
              <w14:schemeClr w14:val="tx1"/>
            </w14:solidFill>
          </w14:textFill>
        </w:rPr>
        <w:tab/>
      </w:r>
      <w:r>
        <w:rPr>
          <w:rFonts w:ascii="Times New Roman" w:hAnsi="Times New Roman" w:cs="Times New Roman"/>
          <w:b/>
          <w:bCs/>
          <w:color w:val="000000" w:themeColor="text1"/>
          <w:sz w:val="22"/>
          <w:szCs w:val="22"/>
          <w14:textFill>
            <w14:solidFill>
              <w14:schemeClr w14:val="tx1"/>
            </w14:solidFill>
          </w14:textFill>
        </w:rPr>
        <w:tab/>
      </w:r>
    </w:p>
    <w:p>
      <w:pPr>
        <w:spacing w:before="240" w:after="0" w:line="36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 xml:space="preserve">Letter of introduction was sought from the Faculty of Basic Medical Sciences, Adeleke University, Ede. Approval to conduct the research in the community was also sought from Ede North Local Government Authority. Informed consent was obtained from the respondents before administering the questionnaire and confidentiality of all respondents was ensured. </w:t>
      </w:r>
    </w:p>
    <w:p>
      <w:pPr>
        <w:spacing w:before="240" w:after="0" w:line="360" w:lineRule="auto"/>
        <w:jc w:val="both"/>
        <w:rPr>
          <w:rFonts w:ascii="Times New Roman" w:hAnsi="Times New Roman" w:cs="Times New Roman"/>
          <w:b/>
          <w:color w:val="000000" w:themeColor="text1"/>
          <w:sz w:val="22"/>
          <w:szCs w:val="22"/>
          <w14:textFill>
            <w14:solidFill>
              <w14:schemeClr w14:val="tx1"/>
            </w14:solidFill>
          </w14:textFill>
        </w:rPr>
        <w:sectPr>
          <w:type w:val="continuous"/>
          <w:pgSz w:w="11907" w:h="16839"/>
          <w:pgMar w:top="1170" w:right="1440" w:bottom="1350" w:left="1440" w:header="720" w:footer="720" w:gutter="0"/>
          <w:pgNumType w:fmt="lowerRoman"/>
          <w:cols w:space="720" w:num="1"/>
          <w:titlePg/>
          <w:docGrid w:linePitch="360" w:charSpace="0"/>
        </w:sectPr>
      </w:pPr>
    </w:p>
    <w:p>
      <w:pPr>
        <w:spacing w:after="0" w:line="360" w:lineRule="auto"/>
        <w:jc w:val="both"/>
        <w:rPr>
          <w:rFonts w:ascii="Times New Roman" w:hAnsi="Times New Roman" w:cs="Times New Roman"/>
          <w:b/>
          <w:color w:val="000000" w:themeColor="text1"/>
          <w:sz w:val="22"/>
          <w:szCs w:val="22"/>
          <w14:textFill>
            <w14:solidFill>
              <w14:schemeClr w14:val="tx1"/>
            </w14:solidFill>
          </w14:textFill>
        </w:rPr>
      </w:pPr>
    </w:p>
    <w:p>
      <w:pPr>
        <w:spacing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RESULTS</w:t>
      </w:r>
    </w:p>
    <w:p>
      <w:pPr>
        <w:spacing w:after="0"/>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Table 1: Socio – Demographic Characteristics of the respondents</w:t>
      </w:r>
      <w:r>
        <w:rPr>
          <w:rFonts w:ascii="Times New Roman" w:hAnsi="Times New Roman" w:cs="Times New Roman"/>
          <w:b/>
          <w:color w:val="000000" w:themeColor="text1"/>
          <w:sz w:val="22"/>
          <w:szCs w:val="22"/>
          <w14:textFill>
            <w14:solidFill>
              <w14:schemeClr w14:val="tx1"/>
            </w14:solidFill>
          </w14:textFill>
        </w:rPr>
        <w:tab/>
      </w:r>
      <w:r>
        <w:rPr>
          <w:rFonts w:ascii="Times New Roman" w:hAnsi="Times New Roman" w:cs="Times New Roman"/>
          <w:b/>
          <w:color w:val="000000" w:themeColor="text1"/>
          <w:sz w:val="22"/>
          <w:szCs w:val="22"/>
          <w14:textFill>
            <w14:solidFill>
              <w14:schemeClr w14:val="tx1"/>
            </w14:solidFill>
          </w14:textFill>
        </w:rPr>
        <w:tab/>
      </w:r>
      <w:r>
        <w:rPr>
          <w:rFonts w:ascii="Times New Roman" w:hAnsi="Times New Roman" w:cs="Times New Roman"/>
          <w:b/>
          <w:color w:val="000000" w:themeColor="text1"/>
          <w:sz w:val="22"/>
          <w:szCs w:val="22"/>
          <w14:textFill>
            <w14:solidFill>
              <w14:schemeClr w14:val="tx1"/>
            </w14:solidFill>
          </w14:textFill>
        </w:rPr>
        <w:tab/>
      </w:r>
      <w:r>
        <w:rPr>
          <w:rFonts w:ascii="Times New Roman" w:hAnsi="Times New Roman" w:cs="Times New Roman"/>
          <w:b/>
          <w:color w:val="000000" w:themeColor="text1"/>
          <w:sz w:val="22"/>
          <w:szCs w:val="22"/>
          <w14:textFill>
            <w14:solidFill>
              <w14:schemeClr w14:val="tx1"/>
            </w14:solidFill>
          </w14:textFill>
        </w:rPr>
        <w:t xml:space="preserve">        (n=50)</w:t>
      </w:r>
    </w:p>
    <w:tbl>
      <w:tblPr>
        <w:tblStyle w:val="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0"/>
        <w:gridCol w:w="3240"/>
        <w:gridCol w:w="2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0"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 xml:space="preserve">         Variables</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Frequency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396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522"/>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Age (Years)</w:t>
            </w: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11 – 15</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18 (36%)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96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1"/>
              </w:numPr>
              <w:spacing w:after="0" w:line="276" w:lineRule="auto"/>
              <w:ind w:left="522"/>
              <w:jc w:val="center"/>
              <w:rPr>
                <w:rFonts w:ascii="Times New Roman" w:hAnsi="Times New Roman" w:cs="Times New Roman"/>
                <w:color w:val="000000" w:themeColor="text1"/>
                <w:sz w:val="22"/>
                <w:szCs w:val="22"/>
                <w14:textFill>
                  <w14:solidFill>
                    <w14:schemeClr w14:val="tx1"/>
                  </w14:solidFill>
                </w14:textFill>
              </w:rPr>
            </w:pP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16 – 20</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21 (42%)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396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1"/>
              </w:numPr>
              <w:spacing w:after="0" w:line="276" w:lineRule="auto"/>
              <w:ind w:left="522"/>
              <w:jc w:val="center"/>
              <w:rPr>
                <w:rFonts w:ascii="Times New Roman" w:hAnsi="Times New Roman" w:cs="Times New Roman"/>
                <w:color w:val="000000" w:themeColor="text1"/>
                <w:sz w:val="22"/>
                <w:szCs w:val="22"/>
                <w14:textFill>
                  <w14:solidFill>
                    <w14:schemeClr w14:val="tx1"/>
                  </w14:solidFill>
                </w14:textFill>
              </w:rPr>
            </w:pP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21 – 25</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 (8%)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396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1"/>
              </w:numPr>
              <w:spacing w:after="0" w:line="276" w:lineRule="auto"/>
              <w:ind w:left="522"/>
              <w:jc w:val="center"/>
              <w:rPr>
                <w:rFonts w:ascii="Times New Roman" w:hAnsi="Times New Roman" w:cs="Times New Roman"/>
                <w:color w:val="000000" w:themeColor="text1"/>
                <w:sz w:val="22"/>
                <w:szCs w:val="22"/>
                <w14:textFill>
                  <w14:solidFill>
                    <w14:schemeClr w14:val="tx1"/>
                  </w14:solidFill>
                </w14:textFill>
              </w:rPr>
            </w:pP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26 and above</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7 (14%)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396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Sex</w:t>
            </w: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Male</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12 (24%)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396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Female</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38 (76%)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396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Religion</w:t>
            </w: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Christianity</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8 (16%)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396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Islam</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42 (84%)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396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Tribe</w:t>
            </w: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Yoruba</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49 (98%)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396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Hausa</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396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Marital Status</w:t>
            </w: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Single</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39 (78%)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396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Married</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11 (22%)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396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Occupation</w:t>
            </w: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Student</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37 (74%)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396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Self – Employed</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13 (26%)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396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Level of Education</w:t>
            </w: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Primary</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6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Secondary</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43 (86%)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396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Tertiary</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5 (10%)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396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522"/>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Level of Income (Per Day)</w:t>
            </w: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1,000 – 1,900</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14 (28%)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96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jc w:val="center"/>
              <w:rPr>
                <w:rFonts w:ascii="Times New Roman" w:hAnsi="Times New Roman" w:cs="Times New Roman"/>
                <w:b/>
                <w:color w:val="000000" w:themeColor="text1"/>
                <w:sz w:val="22"/>
                <w:szCs w:val="22"/>
                <w14:textFill>
                  <w14:solidFill>
                    <w14:schemeClr w14:val="tx1"/>
                  </w14:solidFill>
                </w14:textFill>
              </w:rPr>
            </w:pP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2,000 – 2,900</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14 (28%)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396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jc w:val="center"/>
              <w:rPr>
                <w:rFonts w:ascii="Times New Roman" w:hAnsi="Times New Roman" w:cs="Times New Roman"/>
                <w:b/>
                <w:color w:val="000000" w:themeColor="text1"/>
                <w:sz w:val="22"/>
                <w:szCs w:val="22"/>
                <w14:textFill>
                  <w14:solidFill>
                    <w14:schemeClr w14:val="tx1"/>
                  </w14:solidFill>
                </w14:textFill>
              </w:rPr>
            </w:pP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3,000 – 3,900</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11 (22%)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396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jc w:val="center"/>
              <w:rPr>
                <w:rFonts w:ascii="Times New Roman" w:hAnsi="Times New Roman" w:cs="Times New Roman"/>
                <w:b/>
                <w:color w:val="000000" w:themeColor="text1"/>
                <w:sz w:val="22"/>
                <w:szCs w:val="22"/>
                <w14:textFill>
                  <w14:solidFill>
                    <w14:schemeClr w14:val="tx1"/>
                  </w14:solidFill>
                </w14:textFill>
              </w:rPr>
            </w:pPr>
          </w:p>
        </w:tc>
        <w:tc>
          <w:tcPr>
            <w:tcW w:w="32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4,000 and above</w:t>
            </w:r>
          </w:p>
        </w:tc>
        <w:tc>
          <w:tcPr>
            <w:tcW w:w="21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11 (22%)</w:t>
            </w:r>
          </w:p>
        </w:tc>
      </w:tr>
    </w:tbl>
    <w:p>
      <w:pPr>
        <w:spacing w:after="0"/>
        <w:jc w:val="both"/>
        <w:rPr>
          <w:rFonts w:ascii="Times New Roman" w:hAnsi="Times New Roman" w:cs="Times New Roman"/>
          <w:b/>
          <w:color w:val="000000" w:themeColor="text1"/>
          <w:sz w:val="22"/>
          <w:szCs w:val="22"/>
          <w14:textFill>
            <w14:solidFill>
              <w14:schemeClr w14:val="tx1"/>
            </w14:solidFill>
          </w14:textFill>
        </w:rPr>
      </w:pPr>
    </w:p>
    <w:p>
      <w:pPr>
        <w:spacing w:after="0"/>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 xml:space="preserve">Table 2: Offensive Attention/Behaviours Experienced by Hawkers </w:t>
      </w:r>
      <w:r>
        <w:rPr>
          <w:rFonts w:ascii="Times New Roman" w:hAnsi="Times New Roman" w:cs="Times New Roman"/>
          <w:b/>
          <w:color w:val="000000" w:themeColor="text1"/>
          <w:sz w:val="22"/>
          <w:szCs w:val="22"/>
          <w14:textFill>
            <w14:solidFill>
              <w14:schemeClr w14:val="tx1"/>
            </w14:solidFill>
          </w14:textFill>
        </w:rPr>
        <w:tab/>
      </w:r>
      <w:r>
        <w:rPr>
          <w:rFonts w:ascii="Times New Roman" w:hAnsi="Times New Roman" w:cs="Times New Roman"/>
          <w:b/>
          <w:color w:val="000000" w:themeColor="text1"/>
          <w:sz w:val="22"/>
          <w:szCs w:val="22"/>
          <w14:textFill>
            <w14:solidFill>
              <w14:schemeClr w14:val="tx1"/>
            </w14:solidFill>
          </w14:textFill>
        </w:rPr>
        <w:tab/>
      </w:r>
      <w:r>
        <w:rPr>
          <w:rFonts w:ascii="Times New Roman" w:hAnsi="Times New Roman" w:cs="Times New Roman"/>
          <w:b/>
          <w:color w:val="000000" w:themeColor="text1"/>
          <w:sz w:val="22"/>
          <w:szCs w:val="22"/>
          <w14:textFill>
            <w14:solidFill>
              <w14:schemeClr w14:val="tx1"/>
            </w14:solidFill>
          </w14:textFill>
        </w:rPr>
        <w:t xml:space="preserve">                      (n=50)</w:t>
      </w:r>
    </w:p>
    <w:tbl>
      <w:tblPr>
        <w:tblStyle w:val="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20"/>
        <w:gridCol w:w="1260"/>
        <w:gridCol w:w="162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Variables</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Never (%)</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Sometimes (%)</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Often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2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1"/>
              </w:numPr>
              <w:spacing w:after="0" w:line="276" w:lineRule="auto"/>
              <w:ind w:left="342"/>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Do any of your customers tell sexual stories or jokes that are offensive to you?</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26 (52%)</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20 (40%)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 (8%)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2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1"/>
              </w:numPr>
              <w:spacing w:after="0" w:line="276" w:lineRule="auto"/>
              <w:ind w:left="342"/>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Has anyone made gesture or body language of a sexual nature to you?</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31 (62%)</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16 (32%)</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 (6%)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9360" w:type="dxa"/>
            <w:gridSpan w:val="4"/>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1"/>
              </w:numPr>
              <w:spacing w:after="0" w:line="276" w:lineRule="auto"/>
              <w:ind w:left="342"/>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Have you experienced any of the following actions either from men or women customers?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22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2"/>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Whistles/hoots</w:t>
            </w:r>
          </w:p>
          <w:p>
            <w:pPr>
              <w:pStyle w:val="4"/>
              <w:numPr>
                <w:ilvl w:val="0"/>
                <w:numId w:val="2"/>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Mocking laughter</w:t>
            </w:r>
          </w:p>
          <w:p>
            <w:pPr>
              <w:pStyle w:val="4"/>
              <w:numPr>
                <w:ilvl w:val="0"/>
                <w:numId w:val="2"/>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Staring/leering</w:t>
            </w:r>
          </w:p>
          <w:p>
            <w:pPr>
              <w:pStyle w:val="4"/>
              <w:numPr>
                <w:ilvl w:val="0"/>
                <w:numId w:val="2"/>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Offensive/abusive name calling</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26 (52%)</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19 (38%)</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5 (10%)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2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2"/>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32 (64%)</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15 (30%)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 (6%)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52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2"/>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26 (52%)</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21 (42%)</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 (6%)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522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2"/>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32 (64%)</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17 (34%)</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52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1"/>
              </w:numPr>
              <w:spacing w:after="0" w:line="276" w:lineRule="auto"/>
              <w:ind w:left="342"/>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Has anyone asked you unwelcome questions about private sexual matters (for example, discussing or commenting on your sex life?</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35 (70%)</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13 (26%)</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1"/>
              </w:numPr>
              <w:spacing w:after="0" w:line="276" w:lineRule="auto"/>
              <w:ind w:left="342"/>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People have insulted and/or made offensive remarks about my appearance, body, or sexual abilities?</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28 (56%)</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18 (36%)</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 (8%)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52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1"/>
              </w:numPr>
              <w:spacing w:after="0" w:line="276" w:lineRule="auto"/>
              <w:ind w:left="342"/>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Have you been touched in a way that made you feel uncomfortable e.g. lips, breasts, buttocks etc?</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34 (68%)</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14 (28%)</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52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1"/>
              </w:numPr>
              <w:spacing w:after="0" w:line="276" w:lineRule="auto"/>
              <w:ind w:left="342"/>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People make unwanted attempts to establish a romantic sexual relationship with me despite my efforts to discourage it?</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34 (68%)</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15 (30%)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52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1"/>
              </w:numPr>
              <w:spacing w:after="0" w:line="276" w:lineRule="auto"/>
              <w:ind w:left="342"/>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People have attempted to stroke, fondle, or kiss you?</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45 (90%)</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 (6%)</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52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1"/>
              </w:numPr>
              <w:spacing w:after="0" w:line="276" w:lineRule="auto"/>
              <w:ind w:left="342"/>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I have been offered money or special treatment by people seeking to engage me in sexual behaviour?</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47 (94%)</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 (2%)</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2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1"/>
              </w:numPr>
              <w:spacing w:after="0" w:line="276" w:lineRule="auto"/>
              <w:ind w:left="342"/>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I have been threatened for not being sexually cooperative?</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45 (90%)</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 (8%)</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52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1"/>
              </w:numPr>
              <w:spacing w:after="0" w:line="276" w:lineRule="auto"/>
              <w:ind w:left="342"/>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 xml:space="preserve">Do people offer special treatment/favour/gift to you in hopes that you would be sexually cooperative? </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47 (94%)</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 (4%)</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 (2%)</w:t>
            </w:r>
          </w:p>
        </w:tc>
      </w:tr>
    </w:tbl>
    <w:p>
      <w:pPr>
        <w:spacing w:after="0"/>
        <w:rPr>
          <w:rFonts w:ascii="Times New Roman" w:hAnsi="Times New Roman" w:cs="Times New Roman"/>
          <w:b/>
          <w:color w:val="000000" w:themeColor="text1"/>
          <w:sz w:val="22"/>
          <w:szCs w:val="22"/>
          <w14:textFill>
            <w14:solidFill>
              <w14:schemeClr w14:val="tx1"/>
            </w14:solidFill>
          </w14:textFill>
        </w:rPr>
      </w:pPr>
    </w:p>
    <w:p>
      <w:pPr>
        <w:spacing w:after="0"/>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 xml:space="preserve">Table 3: Attitude of Hawkers towards Sexual Harassment </w:t>
      </w:r>
      <w:r>
        <w:rPr>
          <w:rFonts w:ascii="Times New Roman" w:hAnsi="Times New Roman" w:cs="Times New Roman"/>
          <w:b/>
          <w:color w:val="000000" w:themeColor="text1"/>
          <w:sz w:val="22"/>
          <w:szCs w:val="22"/>
          <w14:textFill>
            <w14:solidFill>
              <w14:schemeClr w14:val="tx1"/>
            </w14:solidFill>
          </w14:textFill>
        </w:rPr>
        <w:tab/>
      </w:r>
      <w:r>
        <w:rPr>
          <w:rFonts w:ascii="Times New Roman" w:hAnsi="Times New Roman" w:cs="Times New Roman"/>
          <w:b/>
          <w:color w:val="000000" w:themeColor="text1"/>
          <w:sz w:val="22"/>
          <w:szCs w:val="22"/>
          <w14:textFill>
            <w14:solidFill>
              <w14:schemeClr w14:val="tx1"/>
            </w14:solidFill>
          </w14:textFill>
        </w:rPr>
        <w:tab/>
      </w:r>
      <w:r>
        <w:rPr>
          <w:rFonts w:ascii="Times New Roman" w:hAnsi="Times New Roman" w:cs="Times New Roman"/>
          <w:b/>
          <w:color w:val="000000" w:themeColor="text1"/>
          <w:sz w:val="22"/>
          <w:szCs w:val="22"/>
          <w14:textFill>
            <w14:solidFill>
              <w14:schemeClr w14:val="tx1"/>
            </w14:solidFill>
          </w14:textFill>
        </w:rPr>
        <w:tab/>
      </w:r>
      <w:r>
        <w:rPr>
          <w:rFonts w:ascii="Times New Roman" w:hAnsi="Times New Roman" w:cs="Times New Roman"/>
          <w:b/>
          <w:color w:val="000000" w:themeColor="text1"/>
          <w:sz w:val="22"/>
          <w:szCs w:val="22"/>
          <w14:textFill>
            <w14:solidFill>
              <w14:schemeClr w14:val="tx1"/>
            </w14:solidFill>
          </w14:textFill>
        </w:rPr>
        <w:t xml:space="preserve">                      (n=50)</w:t>
      </w:r>
    </w:p>
    <w:tbl>
      <w:tblPr>
        <w:tblStyle w:val="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00"/>
        <w:gridCol w:w="414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7740"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 xml:space="preserve">                         Variables</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Frequency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60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3"/>
              </w:numPr>
              <w:spacing w:after="0" w:line="276" w:lineRule="auto"/>
              <w:ind w:left="342" w:hanging="342"/>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If people make unwelcomed advances at me, I become</w:t>
            </w:r>
          </w:p>
        </w:tc>
        <w:tc>
          <w:tcPr>
            <w:tcW w:w="41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Embarrassed</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14 (28%)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60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3"/>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p>
        </w:tc>
        <w:tc>
          <w:tcPr>
            <w:tcW w:w="41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Offended</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28 (56%)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360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3"/>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p>
        </w:tc>
        <w:tc>
          <w:tcPr>
            <w:tcW w:w="41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Not bothered</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7 (14%)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360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3"/>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p>
        </w:tc>
        <w:tc>
          <w:tcPr>
            <w:tcW w:w="41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Afraid</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360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3"/>
              </w:numPr>
              <w:spacing w:after="0" w:line="276" w:lineRule="auto"/>
              <w:ind w:left="342"/>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 xml:space="preserve">Which of the following actions would you take if people make unwelcomed advances at you?   </w:t>
            </w:r>
          </w:p>
        </w:tc>
        <w:tc>
          <w:tcPr>
            <w:tcW w:w="41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Report to parents or other authority figures</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17 (34%)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360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3"/>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p>
        </w:tc>
        <w:tc>
          <w:tcPr>
            <w:tcW w:w="41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Insult the trespasser</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27 (54%)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360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3"/>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p>
        </w:tc>
        <w:tc>
          <w:tcPr>
            <w:tcW w:w="41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Be friendly to them</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 (6%)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360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3"/>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p>
        </w:tc>
        <w:tc>
          <w:tcPr>
            <w:tcW w:w="41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 xml:space="preserve">Others </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 (6%)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360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3"/>
              </w:numPr>
              <w:spacing w:after="0" w:line="276" w:lineRule="auto"/>
              <w:ind w:left="342"/>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Would you file a complaint if there is a procedure for you to do so?</w:t>
            </w:r>
          </w:p>
        </w:tc>
        <w:tc>
          <w:tcPr>
            <w:tcW w:w="41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Yes</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40 (80%)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360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3"/>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p>
        </w:tc>
        <w:tc>
          <w:tcPr>
            <w:tcW w:w="41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No</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 (6%)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60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3"/>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p>
        </w:tc>
        <w:tc>
          <w:tcPr>
            <w:tcW w:w="41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Maybe</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7 (14%)</w:t>
            </w:r>
          </w:p>
        </w:tc>
      </w:tr>
    </w:tbl>
    <w:p>
      <w:pPr>
        <w:spacing w:after="0"/>
        <w:jc w:val="center"/>
        <w:rPr>
          <w:rFonts w:ascii="Times New Roman" w:hAnsi="Times New Roman" w:cs="Times New Roman"/>
          <w:b/>
          <w:color w:val="000000" w:themeColor="text1"/>
          <w:sz w:val="22"/>
          <w:szCs w:val="22"/>
          <w14:textFill>
            <w14:solidFill>
              <w14:schemeClr w14:val="tx1"/>
            </w14:solidFill>
          </w14:textFill>
        </w:rPr>
      </w:pPr>
    </w:p>
    <w:p>
      <w:pPr>
        <w:spacing w:after="0"/>
        <w:jc w:val="center"/>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(SA: Strongly Agree, A: Agree, U: Undecided, D: Disagree, SD: Strongly Disagree)</w:t>
      </w:r>
    </w:p>
    <w:tbl>
      <w:tblPr>
        <w:tblStyle w:val="3"/>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0"/>
        <w:gridCol w:w="1440"/>
        <w:gridCol w:w="1260"/>
        <w:gridCol w:w="1170"/>
        <w:gridCol w:w="1350"/>
        <w:gridCol w:w="9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243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Variables</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SA (%)</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 (%)</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U (%)</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D (%)</w:t>
            </w:r>
          </w:p>
        </w:tc>
        <w:tc>
          <w:tcPr>
            <w:tcW w:w="16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9360" w:type="dxa"/>
            <w:gridSpan w:val="7"/>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 xml:space="preserve"> 4. I am comfortable with people of opposite sex touching the following parts of my body without my consent?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243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4"/>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Hair</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8 (16%)</w:t>
            </w:r>
          </w:p>
        </w:tc>
        <w:tc>
          <w:tcPr>
            <w:tcW w:w="1710"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42 (84%)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243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4"/>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Face</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7 (14%)</w:t>
            </w:r>
          </w:p>
        </w:tc>
        <w:tc>
          <w:tcPr>
            <w:tcW w:w="1710"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43 (86%)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43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4"/>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Mouth</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13 (26%)</w:t>
            </w:r>
          </w:p>
        </w:tc>
        <w:tc>
          <w:tcPr>
            <w:tcW w:w="1710"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37 (74%)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4"/>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Ears</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 (4%)</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10 (20%)</w:t>
            </w:r>
          </w:p>
        </w:tc>
        <w:tc>
          <w:tcPr>
            <w:tcW w:w="1710"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38 (76%)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4"/>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Hands</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 (2%)</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 xml:space="preserve"> 5 (10%)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7 (14%)</w:t>
            </w:r>
          </w:p>
        </w:tc>
        <w:tc>
          <w:tcPr>
            <w:tcW w:w="1710"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37 (74%)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4"/>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Buttocks</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5 (10%)</w:t>
            </w:r>
          </w:p>
        </w:tc>
        <w:tc>
          <w:tcPr>
            <w:tcW w:w="1710"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45 (90%)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4"/>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Waist</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6 (12%)</w:t>
            </w:r>
          </w:p>
        </w:tc>
        <w:tc>
          <w:tcPr>
            <w:tcW w:w="1710"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44 (88%)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243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numPr>
                <w:ilvl w:val="0"/>
                <w:numId w:val="4"/>
              </w:numPr>
              <w:spacing w:after="0" w:line="276"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Back</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5 (10%)</w:t>
            </w:r>
          </w:p>
        </w:tc>
        <w:tc>
          <w:tcPr>
            <w:tcW w:w="1710"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45 (90%)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2" w:hRule="atLeast"/>
        </w:trPr>
        <w:tc>
          <w:tcPr>
            <w:tcW w:w="243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5. If I am sexually harassed, I would be cooperative because I would be afraid of being treated poorly or harmed?</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 (2%)</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7 (14%)</w:t>
            </w:r>
          </w:p>
        </w:tc>
        <w:tc>
          <w:tcPr>
            <w:tcW w:w="1710"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42 (84%)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243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6. I can accept/condone any form of sexual harassment except rape?</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0 (0%)</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 (2%)</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10 (20%)</w:t>
            </w:r>
          </w:p>
        </w:tc>
        <w:tc>
          <w:tcPr>
            <w:tcW w:w="1710" w:type="dxa"/>
            <w:gridSpan w:val="2"/>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p>
          <w:p>
            <w:pPr>
              <w:pStyle w:val="4"/>
              <w:spacing w:after="0" w:line="276" w:lineRule="auto"/>
              <w:ind w:left="0"/>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39 (78%)</w:t>
            </w:r>
          </w:p>
        </w:tc>
      </w:tr>
    </w:tbl>
    <w:p>
      <w:pPr>
        <w:spacing w:line="480" w:lineRule="auto"/>
        <w:jc w:val="both"/>
        <w:rPr>
          <w:rFonts w:ascii="Times New Roman" w:hAnsi="Times New Roman" w:cs="Times New Roman"/>
          <w:b/>
          <w:color w:val="000000" w:themeColor="text1"/>
          <w:sz w:val="24"/>
          <w:szCs w:val="24"/>
          <w14:textFill>
            <w14:solidFill>
              <w14:schemeClr w14:val="tx1"/>
            </w14:solidFill>
          </w14:textFill>
        </w:rPr>
      </w:pPr>
    </w:p>
    <w:p>
      <w:pPr>
        <w:spacing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DISCUSSION</w:t>
      </w:r>
    </w:p>
    <w:p>
      <w:pPr>
        <w:spacing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Socio – Demographic Characteristics of the Respondents</w:t>
      </w:r>
      <w:r>
        <w:rPr>
          <w:rFonts w:ascii="Times New Roman" w:hAnsi="Times New Roman" w:cs="Times New Roman"/>
          <w:b/>
          <w:color w:val="000000" w:themeColor="text1"/>
          <w:sz w:val="22"/>
          <w:szCs w:val="22"/>
          <w14:textFill>
            <w14:solidFill>
              <w14:schemeClr w14:val="tx1"/>
            </w14:solidFill>
          </w14:textFill>
        </w:rPr>
        <w:tab/>
      </w:r>
    </w:p>
    <w:p>
      <w:pPr>
        <w:spacing w:after="0" w:line="36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The result revealed that 21 (42%) were between the age of 16 – 20 years, 38 (76%) were females, 42 (84%) were Islam, 49 (98%) were Yoruba of which 39 (78%) were single. Also, 37 (74%) were students, 43 (86%) had secondary school education 14 (28%) earned 1,000 – 1,900 and 2,000 – 2,900 per day as income.</w:t>
      </w:r>
    </w:p>
    <w:p>
      <w:pPr>
        <w:spacing w:after="0" w:line="36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 similar study was conducted in Aba Metropolis; it was found that 192 (64.0%) were females, 108 (36.0%) were between the ages of 15 and 19 years of age while the 226 (75.3%) were of the Ibo tribe, 216 (72.0%) of the respondents were single. (Ijeoma Nduka and Chika O. Duru, 2014).</w:t>
      </w:r>
    </w:p>
    <w:p>
      <w:pPr>
        <w:spacing w:before="240" w:after="0" w:line="36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Offensive Attention/Behaviours Experienced By Hawkers</w:t>
      </w:r>
    </w:p>
    <w:p>
      <w:pPr>
        <w:spacing w:line="36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From the result above, 26 (52%) responded that never do any of their customers tell stories or jokes that are offensive to them. 31 (62%) responded that never, 16 (32%) responded that sometimes has anyone made gesture or body language of a sexual nature to them, 35 (70%) responded that never has anyone asked them unwelcome questions about their private sexual matters. 28 (56%) responded that people have never insulted and/or made offensive remarks about their appearance, body or sexual abilities. 34 (68%) responded that they have never been touched in a way that made them feel uncomfortable. 34 (68%) responded that never do people make unwanted attempts to establish a romantic sexual relationship with them despite their efforts to discourage it. 45 (90%) responded that never do people have attempted to stroke, fondle or kiss them.</w:t>
      </w:r>
    </w:p>
    <w:p>
      <w:pPr>
        <w:spacing w:line="36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 study was conducted on the menace of street hawking in Aba metropolis, South-East Nigeria in the year 2014. A total of 214 respondents comprising 83 (38.8%) males and 131 (61.2%) females had been victims of road traffic accidents. 176 (58.7%) of them had been physically molested while 91 (30.3%) had been sexually molested. Among them, more female hawkers, 67 (73.6%) had been sexually molested and out of the 108 male hawkers; nearly all; 101(93.5%) of them had been physically molested as compared with 75 females (Ijeoma Nduka and Chika O. Duru, 2014).</w:t>
      </w:r>
    </w:p>
    <w:p>
      <w:pPr>
        <w:spacing w:after="0" w:line="360" w:lineRule="auto"/>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Attitudes of Hawkers towards Sexual Harassment</w:t>
      </w:r>
    </w:p>
    <w:p>
      <w:pPr>
        <w:spacing w:line="36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Of the 50 respondents, 28 (56%) responded that they would become offended if people make unwelcomed advances at them, 17 (34%) responded that they will report to parents or other authority if people make unwelcomed advances at them. 40 (80%) responded that they would file a complaint if there is a procedure for them to do so. 42 (86%) strongly disagree that they are comfortable with people of opposite sex touching their hair without their consent, 45 (90%) strongly disagree that they are comfortable with people of opposite sex touching their buttocks without their consent and  44 (88%) strongly disagree that they are comfortable with people of opposite sex touching their waist without their consent.</w:t>
      </w:r>
    </w:p>
    <w:p>
      <w:pPr>
        <w:spacing w:before="240" w:after="0" w:line="36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 study was conducted by Ikechebelu JI, et. al (2008).</w:t>
      </w:r>
      <w:r>
        <w:rPr>
          <w:rFonts w:ascii="Times New Roman" w:hAnsi="Times New Roman" w:cs="Times New Roman"/>
          <w:color w:val="000000" w:themeColor="text1"/>
          <w:sz w:val="18"/>
          <w:szCs w:val="18"/>
          <w14:textFill>
            <w14:solidFill>
              <w14:schemeClr w14:val="tx1"/>
            </w14:solidFill>
          </w14:textFill>
        </w:rPr>
        <w:t xml:space="preserve"> </w:t>
      </w:r>
      <w:r>
        <w:rPr>
          <w:rFonts w:ascii="Times New Roman" w:hAnsi="Times New Roman" w:cs="Times New Roman"/>
          <w:color w:val="000000" w:themeColor="text1"/>
          <w:sz w:val="22"/>
          <w:szCs w:val="22"/>
          <w14:textFill>
            <w14:solidFill>
              <w14:schemeClr w14:val="tx1"/>
            </w14:solidFill>
          </w14:textFill>
        </w:rPr>
        <w:t>The types of sexual abuse experienced</w:t>
      </w:r>
      <w:r>
        <w:rPr>
          <w:rFonts w:ascii="Times New Roman" w:hAnsi="Times New Roman" w:cs="Times New Roman"/>
          <w:color w:val="000000" w:themeColor="text1"/>
          <w:sz w:val="18"/>
          <w:szCs w:val="18"/>
          <w14:textFill>
            <w14:solidFill>
              <w14:schemeClr w14:val="tx1"/>
            </w14:solidFill>
          </w14:textFill>
        </w:rPr>
        <w:t xml:space="preserve"> </w:t>
      </w:r>
      <w:r>
        <w:rPr>
          <w:rFonts w:ascii="Times New Roman" w:hAnsi="Times New Roman" w:cs="Times New Roman"/>
          <w:color w:val="000000" w:themeColor="text1"/>
          <w:sz w:val="22"/>
          <w:szCs w:val="22"/>
          <w14:textFill>
            <w14:solidFill>
              <w14:schemeClr w14:val="tx1"/>
            </w14:solidFill>
          </w14:textFill>
        </w:rPr>
        <w:t>by the 130 hawkers include inappropriate</w:t>
      </w:r>
      <w:r>
        <w:rPr>
          <w:rFonts w:ascii="Times New Roman" w:hAnsi="Times New Roman" w:cs="Times New Roman"/>
          <w:color w:val="000000" w:themeColor="text1"/>
          <w:sz w:val="18"/>
          <w:szCs w:val="18"/>
          <w14:textFill>
            <w14:solidFill>
              <w14:schemeClr w14:val="tx1"/>
            </w14:solidFill>
          </w14:textFill>
        </w:rPr>
        <w:t xml:space="preserve"> </w:t>
      </w:r>
      <w:r>
        <w:rPr>
          <w:rFonts w:ascii="Times New Roman" w:hAnsi="Times New Roman" w:cs="Times New Roman"/>
          <w:color w:val="000000" w:themeColor="text1"/>
          <w:sz w:val="22"/>
          <w:szCs w:val="22"/>
          <w14:textFill>
            <w14:solidFill>
              <w14:schemeClr w14:val="tx1"/>
            </w14:solidFill>
          </w14:textFill>
        </w:rPr>
        <w:t>touches (106 cases; 81.5%), verbal abuses</w:t>
      </w:r>
      <w:r>
        <w:rPr>
          <w:rFonts w:ascii="Times New Roman" w:hAnsi="Times New Roman" w:cs="Times New Roman"/>
          <w:color w:val="000000" w:themeColor="text1"/>
          <w:sz w:val="18"/>
          <w:szCs w:val="18"/>
          <w14:textFill>
            <w14:solidFill>
              <w14:schemeClr w14:val="tx1"/>
            </w14:solidFill>
          </w14:textFill>
        </w:rPr>
        <w:t xml:space="preserve"> </w:t>
      </w:r>
      <w:r>
        <w:rPr>
          <w:rFonts w:ascii="Times New Roman" w:hAnsi="Times New Roman" w:cs="Times New Roman"/>
          <w:color w:val="000000" w:themeColor="text1"/>
          <w:sz w:val="22"/>
          <w:szCs w:val="22"/>
          <w14:textFill>
            <w14:solidFill>
              <w14:schemeClr w14:val="tx1"/>
            </w14:solidFill>
          </w14:textFill>
        </w:rPr>
        <w:t>(121 cases; 93.1%) and sexual intercourse</w:t>
      </w:r>
      <w:r>
        <w:rPr>
          <w:rFonts w:ascii="Times New Roman" w:hAnsi="Times New Roman" w:cs="Times New Roman"/>
          <w:color w:val="000000" w:themeColor="text1"/>
          <w:sz w:val="18"/>
          <w:szCs w:val="18"/>
          <w14:textFill>
            <w14:solidFill>
              <w14:schemeClr w14:val="tx1"/>
            </w14:solidFill>
          </w14:textFill>
        </w:rPr>
        <w:t xml:space="preserve"> </w:t>
      </w:r>
      <w:r>
        <w:rPr>
          <w:rFonts w:ascii="Times New Roman" w:hAnsi="Times New Roman" w:cs="Times New Roman"/>
          <w:color w:val="000000" w:themeColor="text1"/>
          <w:sz w:val="22"/>
          <w:szCs w:val="22"/>
          <w14:textFill>
            <w14:solidFill>
              <w14:schemeClr w14:val="tx1"/>
            </w14:solidFill>
          </w14:textFill>
        </w:rPr>
        <w:t>(32 cases; 24.6%). (Ikechebelu JI, Udigwe GO, Ezechukwu CC, Ndinechi AG, and Joe–Ikechebelu NN, 2008).</w:t>
      </w:r>
    </w:p>
    <w:p>
      <w:pPr>
        <w:spacing w:before="240"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CONCLUSION</w:t>
      </w:r>
    </w:p>
    <w:p>
      <w:pPr>
        <w:spacing w:line="360" w:lineRule="auto"/>
        <w:jc w:val="both"/>
        <w:rPr>
          <w:rFonts w:ascii="Times New Roman" w:hAnsi="Times New Roman" w:cs="Times New Roman"/>
          <w:bCs/>
          <w:color w:val="000000" w:themeColor="text1"/>
          <w:sz w:val="22"/>
          <w:szCs w:val="22"/>
          <w14:textFill>
            <w14:solidFill>
              <w14:schemeClr w14:val="tx1"/>
            </w14:solidFill>
          </w14:textFill>
        </w:rPr>
      </w:pPr>
      <w:bookmarkStart w:id="0" w:name="_GoBack"/>
      <w:bookmarkEnd w:id="0"/>
      <w:r>
        <w:rPr>
          <w:rFonts w:ascii="Times New Roman" w:hAnsi="Times New Roman" w:cs="Times New Roman"/>
          <w:color w:val="000000" w:themeColor="text1"/>
          <w:sz w:val="22"/>
          <w:szCs w:val="22"/>
          <w14:textFill>
            <w14:solidFill>
              <w14:schemeClr w14:val="tx1"/>
            </w14:solidFill>
          </w14:textFill>
        </w:rPr>
        <w:t>This findings revealed that most of the respondents falls between puberty stage, greater percentage of them were females between the age of 11 – 20 years  and this make them to be vulnerable to various degree of sexual harassment during the course of hawking. Efforts and policies should be implement to prevent any forms of sexual harassment that poses dangerous effects to the victims</w:t>
      </w:r>
      <w:r>
        <w:rPr>
          <w:rFonts w:ascii="Times New Roman" w:hAnsi="Times New Roman" w:cs="Times New Roman"/>
          <w:b/>
          <w:color w:val="000000" w:themeColor="text1"/>
          <w:sz w:val="22"/>
          <w:szCs w:val="22"/>
          <w14:textFill>
            <w14:solidFill>
              <w14:schemeClr w14:val="tx1"/>
            </w14:solidFill>
          </w14:textFill>
        </w:rPr>
        <w:tab/>
      </w:r>
      <w:r>
        <w:rPr>
          <w:rFonts w:ascii="Times New Roman" w:hAnsi="Times New Roman" w:cs="Times New Roman"/>
          <w:b/>
          <w:color w:val="000000" w:themeColor="text1"/>
          <w:sz w:val="22"/>
          <w:szCs w:val="22"/>
          <w14:textFill>
            <w14:solidFill>
              <w14:schemeClr w14:val="tx1"/>
            </w14:solidFill>
          </w14:textFill>
        </w:rPr>
        <w:t>.</w:t>
      </w:r>
    </w:p>
    <w:p>
      <w:pPr>
        <w:spacing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Cs/>
          <w:color w:val="000000" w:themeColor="text1"/>
          <w:sz w:val="22"/>
          <w:szCs w:val="22"/>
          <w14:textFill>
            <w14:solidFill>
              <w14:schemeClr w14:val="tx1"/>
            </w14:solidFill>
          </w14:textFill>
        </w:rPr>
        <w:t>In</w:t>
      </w:r>
      <w:r>
        <w:rPr>
          <w:rFonts w:ascii="Times New Roman" w:hAnsi="Times New Roman" w:cs="Times New Roman"/>
          <w:b/>
          <w:color w:val="000000" w:themeColor="text1"/>
          <w:sz w:val="22"/>
          <w:szCs w:val="22"/>
          <w14:textFill>
            <w14:solidFill>
              <w14:schemeClr w14:val="tx1"/>
            </w14:solidFill>
          </w14:textFill>
        </w:rPr>
        <w:t xml:space="preserve"> </w:t>
      </w:r>
      <w:r>
        <w:rPr>
          <w:rFonts w:ascii="Times New Roman" w:hAnsi="Times New Roman" w:cs="Times New Roman"/>
          <w:color w:val="000000" w:themeColor="text1"/>
          <w:sz w:val="22"/>
          <w:szCs w:val="22"/>
          <w14:textFill>
            <w14:solidFill>
              <w14:schemeClr w14:val="tx1"/>
            </w14:solidFill>
          </w14:textFill>
        </w:rPr>
        <w:t>conclusion, street hawking is a variant is a very visible phenomenon in our society. It is largely due to poverty and underdevelopment. The hawkers are exposed to many risks of which sexual abuse is a prominent component. The government needs to vigorously pursue poverty alleviation measures to improve the general socioeconomic status of majority of the population. There is also need to give sex education to all young people with emphasis on risk reduction measures. Help centers and protective agencies should also be established to assist the abused child/adolescent. Efforts to cub child labour and introduce protective child right policies should be intensified.</w:t>
      </w:r>
      <w:r>
        <w:rPr>
          <w:rFonts w:ascii="Times New Roman" w:hAnsi="Times New Roman" w:cs="Times New Roman"/>
          <w:b/>
          <w:color w:val="000000" w:themeColor="text1"/>
          <w:sz w:val="22"/>
          <w:szCs w:val="22"/>
          <w14:textFill>
            <w14:solidFill>
              <w14:schemeClr w14:val="tx1"/>
            </w14:solidFill>
          </w14:textFill>
        </w:rPr>
        <w:tab/>
      </w:r>
    </w:p>
    <w:p>
      <w:pPr>
        <w:spacing w:line="360" w:lineRule="auto"/>
        <w:jc w:val="both"/>
        <w:rPr>
          <w:rFonts w:ascii="Times New Roman" w:hAnsi="Times New Roman" w:cs="Times New Roman"/>
          <w:b/>
          <w:color w:val="000000" w:themeColor="text1"/>
          <w:sz w:val="22"/>
          <w:szCs w:val="22"/>
          <w14:textFill>
            <w14:solidFill>
              <w14:schemeClr w14:val="tx1"/>
            </w14:solidFill>
          </w14:textFill>
        </w:rPr>
      </w:pPr>
    </w:p>
    <w:p>
      <w:pPr>
        <w:spacing w:after="0" w:line="360" w:lineRule="auto"/>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b/>
          <w:color w:val="000000" w:themeColor="text1"/>
          <w:sz w:val="22"/>
          <w:szCs w:val="22"/>
          <w14:textFill>
            <w14:solidFill>
              <w14:schemeClr w14:val="tx1"/>
            </w14:solidFill>
          </w14:textFill>
        </w:rPr>
        <w:t>REFERENCES</w:t>
      </w:r>
    </w:p>
    <w:p>
      <w:pPr>
        <w:pStyle w:val="4"/>
        <w:numPr>
          <w:ilvl w:val="0"/>
          <w:numId w:val="5"/>
        </w:numPr>
        <w:ind w:left="36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Amoo EO., Ola-David O, Ogunrinola IO, Fadayomi TO (2012). Street trading activities and maternal health in urban areas of Nigeria. Global Journal of Human Social Science, Arts and Humanities; 12(15):1-10.</w:t>
      </w:r>
    </w:p>
    <w:p>
      <w:pPr>
        <w:pStyle w:val="4"/>
        <w:numPr>
          <w:ilvl w:val="0"/>
          <w:numId w:val="5"/>
        </w:numPr>
        <w:ind w:left="36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Ashimolowo OR, Aromolaran AK, Inegbedion SO (2010). Child-street trading activities and its effect on the educational attainment of its victims in Epe Local Government area of Lagos state. J. Agric. 2(4):211-220.</w:t>
      </w:r>
    </w:p>
    <w:p>
      <w:pPr>
        <w:pStyle w:val="4"/>
        <w:numPr>
          <w:ilvl w:val="0"/>
          <w:numId w:val="5"/>
        </w:numPr>
        <w:ind w:left="36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Ekpenyong S, Nkereuwuem SA (2011). Street Trading and Child Labour in Yenogoa. Int. J. Sci. Res. in Educ. 4(1): 36-46.</w:t>
      </w:r>
    </w:p>
    <w:p>
      <w:pPr>
        <w:pStyle w:val="4"/>
        <w:numPr>
          <w:ilvl w:val="0"/>
          <w:numId w:val="5"/>
        </w:numPr>
        <w:ind w:left="36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Esin MN, Bulduk S, Ince H (2005). Work related risks and health problems of working children in urban Istanbul, Turkey. J . Occup Health. 47:431-436.</w:t>
      </w:r>
    </w:p>
    <w:p>
      <w:pPr>
        <w:pStyle w:val="4"/>
        <w:numPr>
          <w:ilvl w:val="0"/>
          <w:numId w:val="5"/>
        </w:numPr>
        <w:ind w:left="36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Fawole OI, Ajuwon AJ, Oshungbade KO (2003). Interventions for violence prevention among female workers in motor parks in South Western Nigeria a review of effectiveness. Afr. J. of Re-production Health; 7 (1): 71 – 82.</w:t>
      </w:r>
    </w:p>
    <w:p>
      <w:pPr>
        <w:pStyle w:val="4"/>
        <w:numPr>
          <w:ilvl w:val="0"/>
          <w:numId w:val="5"/>
        </w:numPr>
        <w:ind w:left="36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Hoyamo L, Keenan C (2007). Child Abuse: Law and Policy Across Boundaries: Oxford: Oxford University press.</w:t>
      </w:r>
    </w:p>
    <w:p>
      <w:pPr>
        <w:pStyle w:val="4"/>
        <w:numPr>
          <w:ilvl w:val="0"/>
          <w:numId w:val="5"/>
        </w:numPr>
        <w:ind w:left="36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International Labour Office (2006). The End of Child Labour: Within reach Global report on the follow-up to the ILO Declaration on Fundamental Principles and Rights at Work. International Labour Conference 95th Session, Report I(B), ILO, Geneva.</w:t>
      </w:r>
    </w:p>
    <w:p>
      <w:pPr>
        <w:pStyle w:val="4"/>
        <w:numPr>
          <w:ilvl w:val="0"/>
          <w:numId w:val="5"/>
        </w:numPr>
        <w:ind w:left="36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Kwankye SO, Nyarko PE, Tagoe CA (2007). Reproductive Health Implications of Street Hawking in Accra. Paper presented at the Fifth African Population Studies, Arusha Tanzania, 10-14 Dec.</w:t>
      </w:r>
    </w:p>
    <w:p>
      <w:pPr>
        <w:pStyle w:val="4"/>
        <w:numPr>
          <w:ilvl w:val="0"/>
          <w:numId w:val="5"/>
        </w:numPr>
        <w:ind w:left="36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Lee S (2004). Assessing the vulnerability of women street traders to HIV/AIDS: A Comparative Analysis of Uganda and South Africa. HEARD, July. 26.</w:t>
      </w:r>
    </w:p>
    <w:p>
      <w:pPr>
        <w:pStyle w:val="4"/>
        <w:numPr>
          <w:ilvl w:val="0"/>
          <w:numId w:val="5"/>
        </w:numPr>
        <w:ind w:left="36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Lu JL (2011). Occupational Health and Safety of Women Workers: Viewed in the Light of Labour Regulations. J. Int. Women’s Stud. Vol. 12 No. 1. \2011. Pp 68-78.</w:t>
      </w:r>
    </w:p>
    <w:p>
      <w:pPr>
        <w:pStyle w:val="4"/>
        <w:numPr>
          <w:ilvl w:val="0"/>
          <w:numId w:val="5"/>
        </w:numPr>
        <w:ind w:left="360"/>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Olutunde AA (2013). the Prevalence of Child-Hawkers’ in Motor parks in Ibadan Munacipality: An Overview. Open Journal of Social Science Research; 1(7): 174-179.</w:t>
      </w:r>
    </w:p>
    <w:p>
      <w:pPr>
        <w:pStyle w:val="4"/>
        <w:numPr>
          <w:ilvl w:val="0"/>
          <w:numId w:val="5"/>
        </w:numPr>
        <w:ind w:left="360"/>
        <w:jc w:val="both"/>
        <w:rPr>
          <w:rFonts w:ascii="Times New Roman" w:hAnsi="Times New Roman" w:cs="Times New Roman"/>
          <w:b/>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Ugochukwu EF, Okeke KN, Onubogu CU, Edokwe ES (2012). Socio- demographic characteristics of child street vendors in Nnewi, Nigeria. Niger J . Paed. 39(4): 174-178.</w:t>
      </w:r>
    </w:p>
    <w:sectPr>
      <w:pgSz w:w="11907" w:h="16839"/>
      <w:pgMar w:top="1440" w:right="1440" w:bottom="799"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Times-Roman">
    <w:altName w:val="Times New Roman"/>
    <w:panose1 w:val="00000000000000000000"/>
    <w:charset w:val="00"/>
    <w:family w:val="roman"/>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0000002"/>
    <w:multiLevelType w:val="multilevel"/>
    <w:tmpl w:val="0000000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0000005"/>
    <w:multiLevelType w:val="multilevel"/>
    <w:tmpl w:val="00000005"/>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0000006"/>
    <w:multiLevelType w:val="multilevel"/>
    <w:tmpl w:val="0000000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00000009"/>
    <w:multiLevelType w:val="multilevel"/>
    <w:tmpl w:val="00000009"/>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cumentProtection w:enforcement="0"/>
  <w:defaultTabStop w:val="720"/>
  <w:drawingGridHorizontalSpacing w:val="100"/>
  <w:displayHorizontalDrawingGridEvery w:val="2"/>
  <w:characterSpacingControl w:val="doNotCompress"/>
  <w:compat>
    <w:compatSetting w:name="compatibilityMode" w:uri="http://schemas.microsoft.com/office/word" w:val="12"/>
  </w:compat>
  <w:rsids>
    <w:rsidRoot w:val="00A86E4E"/>
    <w:rsid w:val="00086000"/>
    <w:rsid w:val="001D057C"/>
    <w:rsid w:val="003237C5"/>
    <w:rsid w:val="003E72A6"/>
    <w:rsid w:val="00404FF4"/>
    <w:rsid w:val="004172A3"/>
    <w:rsid w:val="00417EA9"/>
    <w:rsid w:val="006C04E7"/>
    <w:rsid w:val="00703DD3"/>
    <w:rsid w:val="0072106E"/>
    <w:rsid w:val="008A4366"/>
    <w:rsid w:val="009354CC"/>
    <w:rsid w:val="00A86E4E"/>
    <w:rsid w:val="00AD0E06"/>
    <w:rsid w:val="00B14D88"/>
    <w:rsid w:val="00E102D0"/>
    <w:rsid w:val="00E738A5"/>
    <w:rsid w:val="00E955A3"/>
    <w:rsid w:val="00EB4BA7"/>
    <w:rsid w:val="0BF07775"/>
    <w:rsid w:val="157D17CB"/>
    <w:rsid w:val="480C56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0"/>
      <w:szCs w:val="20"/>
      <w:lang w:val="en-GB"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List Paragraph"/>
    <w:basedOn w:val="1"/>
    <w:uiPriority w:val="0"/>
    <w:pPr>
      <w:spacing w:after="200" w:line="276" w:lineRule="auto"/>
      <w:ind w:left="720"/>
      <w:contextualSpacing/>
    </w:pPr>
    <w:rPr>
      <w:rFonts w:ascii="Calibri" w:hAnsi="Calibri" w:eastAsia="Calibri" w:cs="Arial"/>
      <w:sz w:val="22"/>
      <w:szCs w:val="22"/>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391</Words>
  <Characters>2230</Characters>
  <Lines>18</Lines>
  <Paragraphs>5</Paragraphs>
  <TotalTime>1</TotalTime>
  <ScaleCrop>false</ScaleCrop>
  <LinksUpToDate>false</LinksUpToDate>
  <CharactersWithSpaces>2616</CharactersWithSpaces>
  <Application>WPS Office_11.2.0.9150_F1E327BC-269C-435d-A152-05C5408002CA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2019-11-22T12:05:00Z</dcterms:created>
  <dc:creator>DR OMOGE A.O</dc:creator>
  <cp:lastModifiedBy>USER</cp:lastModifiedBy>
  <cp:lastPrinted>2019-11-22T12:26:00Z</cp:lastPrinted>
  <dcterms:modified xsi:type="dcterms:W3CDTF">2021-05-10T09:36:55Z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1033-11.2.0.9150</vt:lpwstr>
  </property>
</Properties>
</file>