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rFonts w:ascii="Times New Roman" w:cs="Times New Roman" w:hAnsi="Times New Roman"/>
          <w:b/>
          <w:bCs/>
          <w:sz w:val="26"/>
          <w:szCs w:val="26"/>
        </w:rPr>
      </w:pPr>
      <w:r>
        <w:rPr>
          <w:rFonts w:ascii="Times New Roman" w:cs="Times New Roman" w:hAnsi="Times New Roman"/>
          <w:b/>
          <w:bCs/>
          <w:sz w:val="26"/>
          <w:szCs w:val="26"/>
          <w:lang w:val="en-US"/>
        </w:rPr>
        <w:t>FACTORS INFLUENCING</w:t>
      </w:r>
      <w:r>
        <w:rPr>
          <w:rFonts w:ascii="Times New Roman" w:cs="Times New Roman" w:hAnsi="Times New Roman"/>
          <w:b/>
          <w:bCs/>
          <w:sz w:val="26"/>
          <w:szCs w:val="26"/>
          <w:lang w:val="en-US"/>
        </w:rPr>
        <w:t xml:space="preserve"> </w:t>
      </w:r>
      <w:r>
        <w:rPr>
          <w:rFonts w:ascii="Times New Roman" w:cs="Times New Roman" w:hAnsi="Times New Roman"/>
          <w:b/>
          <w:bCs/>
          <w:sz w:val="26"/>
          <w:szCs w:val="26"/>
        </w:rPr>
        <w:t>KNOWLEDGE, ATTITUDES AND PERCEPTIONS OF MALARIA IN PREGNANCY AMONG PREGNANT WOMEN ATTENDING ANTENATAL CLINICS AT HOSPITALS IN OKITIPUPA, ONDO STATE, NIGERIA</w:t>
      </w:r>
    </w:p>
    <w:p>
      <w:pPr>
        <w:pStyle w:val="style0"/>
        <w:spacing w:after="0" w:lineRule="auto" w:line="360"/>
        <w:jc w:val="center"/>
        <w:rPr>
          <w:rFonts w:ascii="Times New Roman" w:cs="Times New Roman" w:hAnsi="Times New Roman"/>
          <w:b/>
          <w:sz w:val="24"/>
          <w:szCs w:val="24"/>
          <w:lang w:val="en-US"/>
        </w:rPr>
      </w:pPr>
      <w:r>
        <w:rPr>
          <w:rFonts w:ascii="Times New Roman" w:cs="Times New Roman" w:hAnsi="Times New Roman"/>
          <w:b/>
          <w:sz w:val="24"/>
          <w:szCs w:val="24"/>
        </w:rPr>
        <w:t>Omoge O. Adeyemi</w:t>
      </w:r>
      <w:r>
        <w:rPr>
          <w:rFonts w:ascii="Times New Roman" w:cs="Times New Roman" w:hAnsi="Times New Roman"/>
          <w:b/>
          <w:sz w:val="24"/>
          <w:szCs w:val="24"/>
          <w:lang w:val="en-US"/>
        </w:rPr>
        <w:t>;</w:t>
      </w:r>
      <w:r>
        <w:rPr>
          <w:rFonts w:ascii="Times New Roman" w:cs="Times New Roman" w:hAnsi="Times New Roman"/>
          <w:b/>
          <w:sz w:val="24"/>
          <w:szCs w:val="24"/>
          <w:lang w:val="en-US"/>
        </w:rPr>
        <w:t xml:space="preserve"> Oyedele O. Modupe</w:t>
      </w:r>
      <w:r>
        <w:rPr>
          <w:rFonts w:ascii="Times New Roman" w:cs="Times New Roman" w:hAnsi="Times New Roman"/>
          <w:b/>
          <w:sz w:val="24"/>
          <w:szCs w:val="24"/>
          <w:lang w:val="en-US"/>
        </w:rPr>
        <w:t>; Erinsakin</w:t>
      </w:r>
      <w:r>
        <w:rPr>
          <w:rFonts w:ascii="Times New Roman" w:cs="Times New Roman" w:hAnsi="Times New Roman"/>
          <w:b/>
          <w:sz w:val="24"/>
          <w:szCs w:val="24"/>
          <w:lang w:val="en-US"/>
        </w:rPr>
        <w:t xml:space="preserve"> B.</w:t>
      </w:r>
      <w:r>
        <w:rPr>
          <w:rFonts w:ascii="Times New Roman" w:cs="Times New Roman" w:hAnsi="Times New Roman"/>
          <w:b/>
          <w:sz w:val="24"/>
          <w:szCs w:val="24"/>
          <w:lang w:val="en-US"/>
        </w:rPr>
        <w:t xml:space="preserve"> Oluwabunmi</w:t>
      </w:r>
    </w:p>
    <w:p>
      <w:pPr>
        <w:pStyle w:val="style0"/>
        <w:spacing w:after="0" w:lineRule="auto" w:line="360"/>
        <w:jc w:val="center"/>
        <w:rPr/>
      </w:pPr>
      <w:r>
        <w:rPr>
          <w:rFonts w:ascii="Times New Roman" w:cs="Times New Roman" w:hAnsi="Times New Roman" w:hint="default"/>
          <w:b/>
          <w:bCs/>
          <w:sz w:val="24"/>
          <w:szCs w:val="24"/>
          <w:vertAlign w:val="superscript"/>
          <w:lang w:val="en-US"/>
        </w:rPr>
        <w:t>1</w:t>
      </w:r>
      <w:r>
        <w:rPr>
          <w:rFonts w:ascii="Times New Roman" w:cs="Times New Roman" w:hAnsi="Times New Roman" w:hint="default"/>
          <w:b/>
          <w:bCs/>
          <w:sz w:val="24"/>
          <w:szCs w:val="24"/>
        </w:rPr>
        <w:t>Department</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of</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Public</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Health,</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Irrua</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Specialist</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Teaching</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Irrua,</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Edo</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State,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Nigeria</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vertAlign w:val="superscript"/>
          <w:lang w:val="en-US"/>
        </w:rPr>
        <w:t>1</w:t>
      </w:r>
      <w:r>
        <w:rPr>
          <w:rFonts w:ascii="Times New Roman" w:cs="Times New Roman" w:hAnsi="Times New Roman" w:hint="default"/>
          <w:b/>
          <w:bCs/>
          <w:sz w:val="24"/>
          <w:szCs w:val="24"/>
          <w:lang w:val="en-US"/>
        </w:rPr>
        <w:t>3Ps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Health</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Initiative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International,</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State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Nigeria;</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vertAlign w:val="superscript"/>
          <w:lang w:val="en-US"/>
        </w:rPr>
        <w:t>1</w:t>
      </w: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Biology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Medicine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and</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Health,</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Public</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and</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Primary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Care</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The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University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Manchester;</w:t>
      </w:r>
      <w:r>
        <w:rPr>
          <w:rFonts w:ascii="Times New Roman" w:cs="Times New Roman" w:hAnsi="Times New Roman" w:hint="default"/>
          <w:b/>
          <w:bCs/>
          <w:sz w:val="24"/>
          <w:szCs w:val="24"/>
          <w:lang w:val="en-US"/>
        </w:rPr>
        <w:t xml:space="preserve"> </w:t>
      </w:r>
      <w:r>
        <w:rPr>
          <w:rFonts w:cs="Times New Roman" w:hAnsi="Times New Roman" w:hint="default"/>
          <w:b/>
          <w:bCs/>
          <w:sz w:val="24"/>
          <w:szCs w:val="24"/>
          <w:vertAlign w:val="superscript"/>
          <w:lang w:val="en-US"/>
        </w:rPr>
        <w:t>1,</w:t>
      </w:r>
      <w:r>
        <w:rPr>
          <w:rFonts w:cs="Times New Roman" w:hAnsi="Times New Roman" w:hint="default"/>
          <w:b/>
          <w:bCs/>
          <w:sz w:val="24"/>
          <w:szCs w:val="24"/>
          <w:vertAlign w:val="superscript"/>
          <w:lang w:val="en-US"/>
        </w:rPr>
        <w:t>3</w:t>
      </w: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Basic</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Medical</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Sciences,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of</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Public</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Health,</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Adeleke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University,</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Ede,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Osun</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State,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Nigeria</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vertAlign w:val="superscript"/>
          <w:lang w:val="en-US"/>
        </w:rPr>
        <w:t>2</w:t>
      </w: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Languages,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Yoruba,</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Adeyemi</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College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Education</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City,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State,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Nigeria</w:t>
      </w: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omogeadeyemi@gmail.com</w:t>
      </w:r>
    </w:p>
    <w:p>
      <w:pPr>
        <w:pStyle w:val="style0"/>
        <w:spacing w:before="240" w:after="0" w:lineRule="auto" w:line="360"/>
        <w:jc w:val="center"/>
        <w:rPr>
          <w:rFonts w:ascii="Times New Roman" w:cs="Times New Roman" w:hAnsi="Times New Roman"/>
          <w:b/>
          <w:sz w:val="24"/>
          <w:szCs w:val="24"/>
        </w:rPr>
      </w:pPr>
      <w:r>
        <w:rPr>
          <w:rFonts w:ascii="Times New Roman" w:cs="Times New Roman" w:hAnsi="Times New Roman"/>
          <w:b/>
          <w:sz w:val="22"/>
          <w:szCs w:val="22"/>
        </w:rPr>
        <w:t>ABSTRACT</w:t>
      </w:r>
    </w:p>
    <w:p>
      <w:pPr>
        <w:pStyle w:val="style0"/>
        <w:spacing w:lineRule="auto" w:line="360"/>
        <w:jc w:val="both"/>
        <w:rPr>
          <w:rFonts w:ascii="Times New Roman" w:cs="Times New Roman" w:hAnsi="Times New Roman"/>
          <w:color w:val="000000"/>
          <w:sz w:val="22"/>
          <w:szCs w:val="22"/>
        </w:rPr>
      </w:pPr>
      <w:r>
        <w:rPr>
          <w:rFonts w:ascii="Times New Roman" w:cs="Times New Roman" w:hAnsi="Times New Roman"/>
          <w:b/>
          <w:sz w:val="22"/>
          <w:szCs w:val="22"/>
        </w:rPr>
        <w:t>BACKGROUND:</w:t>
      </w:r>
      <w:r>
        <w:rPr>
          <w:rFonts w:ascii="Times New Roman" w:cs="Times New Roman" w:hAnsi="Times New Roman"/>
          <w:b/>
          <w:color w:val="000000"/>
          <w:sz w:val="22"/>
          <w:szCs w:val="22"/>
        </w:rPr>
        <w:t xml:space="preserve"> </w:t>
      </w:r>
      <w:r>
        <w:rPr>
          <w:rFonts w:ascii="Times New Roman" w:cs="Times New Roman" w:eastAsia="BookmanOldStyle" w:hAnsi="Times New Roman"/>
          <w:color w:val="000000"/>
          <w:sz w:val="22"/>
          <w:szCs w:val="22"/>
        </w:rPr>
        <w:t xml:space="preserve">Malaria is a life threatening parasitic disease caused by Plasmodium Species, transmitted by female </w:t>
      </w:r>
      <w:r>
        <w:rPr>
          <w:rFonts w:ascii="Times New Roman" w:cs="Times New Roman" w:eastAsia="BookmanOldStyle-Italic" w:hAnsi="Times New Roman"/>
          <w:color w:val="000000"/>
          <w:sz w:val="22"/>
          <w:szCs w:val="22"/>
        </w:rPr>
        <w:t xml:space="preserve">Anopheles </w:t>
      </w:r>
      <w:r>
        <w:rPr>
          <w:rFonts w:ascii="Times New Roman" w:cs="Times New Roman" w:eastAsia="BookmanOldStyle" w:hAnsi="Times New Roman"/>
          <w:color w:val="000000"/>
          <w:sz w:val="22"/>
          <w:szCs w:val="22"/>
        </w:rPr>
        <w:t xml:space="preserve">mosquitoes. </w:t>
      </w:r>
      <w:r>
        <w:rPr>
          <w:rFonts w:ascii="Times New Roman" w:cs="Times New Roman" w:hAnsi="Times New Roman"/>
          <w:color w:val="000000"/>
          <w:sz w:val="22"/>
          <w:szCs w:val="22"/>
        </w:rPr>
        <w:t xml:space="preserve">Malaria in pregnancy is an obstetric, social and public health problem of all over the world particularly in tropical and sub – tropical countries which can have serious consequences for both the mother and her unborn child. </w:t>
      </w:r>
    </w:p>
    <w:p>
      <w:pPr>
        <w:pStyle w:val="style0"/>
        <w:spacing w:lineRule="auto" w:line="360"/>
        <w:jc w:val="both"/>
        <w:rPr>
          <w:rFonts w:ascii="Times New Roman" w:cs="Times New Roman" w:hAnsi="Times New Roman"/>
          <w:color w:val="000000"/>
          <w:sz w:val="22"/>
          <w:szCs w:val="22"/>
        </w:rPr>
      </w:pPr>
      <w:r>
        <w:rPr>
          <w:rFonts w:ascii="Times New Roman" w:cs="Times New Roman" w:hAnsi="Times New Roman"/>
          <w:b/>
          <w:sz w:val="22"/>
          <w:szCs w:val="22"/>
        </w:rPr>
        <w:t xml:space="preserve">OBJECTIVE: </w:t>
      </w:r>
      <w:r>
        <w:rPr>
          <w:rFonts w:ascii="Times New Roman" w:cs="Times New Roman" w:hAnsi="Times New Roman"/>
          <w:sz w:val="22"/>
          <w:szCs w:val="22"/>
        </w:rPr>
        <w:t>The objective of th</w:t>
      </w:r>
      <w:r>
        <w:rPr>
          <w:rFonts w:ascii="Times New Roman" w:cs="Times New Roman" w:hAnsi="Times New Roman"/>
          <w:sz w:val="22"/>
          <w:szCs w:val="22"/>
        </w:rPr>
        <w:t xml:space="preserve">is study was to </w:t>
      </w:r>
      <w:r>
        <w:rPr>
          <w:rFonts w:ascii="Times New Roman" w:cs="Times New Roman" w:hAnsi="Times New Roman"/>
          <w:color w:val="000000"/>
          <w:sz w:val="22"/>
          <w:szCs w:val="22"/>
        </w:rPr>
        <w:t xml:space="preserve">gain more understanding on </w:t>
      </w:r>
      <w:r>
        <w:rPr>
          <w:rFonts w:ascii="Times New Roman" w:cs="Times New Roman" w:hAnsi="Times New Roman"/>
          <w:color w:val="000000"/>
          <w:sz w:val="22"/>
          <w:szCs w:val="22"/>
        </w:rPr>
        <w:t>the factors influencing</w:t>
      </w:r>
      <w:r>
        <w:rPr>
          <w:rFonts w:ascii="Times New Roman" w:cs="Times New Roman" w:hAnsi="Times New Roman"/>
          <w:color w:val="000000"/>
          <w:sz w:val="22"/>
          <w:szCs w:val="22"/>
          <w:lang w:val="en-US"/>
        </w:rPr>
        <w:t xml:space="preserve"> </w:t>
      </w:r>
      <w:r>
        <w:rPr>
          <w:rFonts w:ascii="Times New Roman" w:cs="Times New Roman" w:hAnsi="Times New Roman"/>
          <w:color w:val="000000"/>
          <w:sz w:val="22"/>
          <w:szCs w:val="22"/>
        </w:rPr>
        <w:t>knowledge, attitudes and perceptions on malaria in pregnancy among pregnant women attending antenatal clinics at hospitals in Okitipupa, Ondo state.</w:t>
      </w:r>
    </w:p>
    <w:p>
      <w:pPr>
        <w:pStyle w:val="style0"/>
        <w:spacing w:lineRule="auto" w:line="360"/>
        <w:jc w:val="both"/>
        <w:rPr>
          <w:rFonts w:ascii="Times New Roman" w:cs="Times New Roman" w:hAnsi="Times New Roman"/>
          <w:sz w:val="22"/>
          <w:szCs w:val="22"/>
        </w:rPr>
      </w:pPr>
      <w:r>
        <w:rPr>
          <w:rFonts w:ascii="Times New Roman" w:cs="Times New Roman" w:hAnsi="Times New Roman"/>
          <w:b/>
          <w:sz w:val="22"/>
          <w:szCs w:val="22"/>
        </w:rPr>
        <w:t xml:space="preserve">METHODOLOGY: </w:t>
      </w:r>
      <w:r>
        <w:rPr>
          <w:rFonts w:ascii="Times New Roman" w:cs="Times New Roman" w:hAnsi="Times New Roman"/>
          <w:sz w:val="22"/>
          <w:szCs w:val="22"/>
        </w:rPr>
        <w:t xml:space="preserve">This </w:t>
      </w:r>
      <w:r>
        <w:rPr>
          <w:rFonts w:ascii="Times New Roman" w:cs="Times New Roman" w:hAnsi="Times New Roman"/>
          <w:sz w:val="22"/>
          <w:szCs w:val="22"/>
        </w:rPr>
        <w:t xml:space="preserve">was a descriptive cross – sectional study. </w:t>
      </w:r>
      <w:r>
        <w:rPr>
          <w:rFonts w:ascii="Times New Roman" w:cs="Times New Roman" w:hAnsi="Times New Roman"/>
          <w:sz w:val="22"/>
          <w:szCs w:val="22"/>
        </w:rPr>
        <w:t>Leslie Kish formula (n = Z²×pq/d²) was used for calculating sample size</w:t>
      </w:r>
      <w:r>
        <w:rPr>
          <w:rFonts w:ascii="Times New Roman" w:cs="Times New Roman" w:hAnsi="Times New Roman"/>
          <w:sz w:val="22"/>
          <w:szCs w:val="22"/>
        </w:rPr>
        <w:t xml:space="preserve">. </w:t>
      </w:r>
      <w:r>
        <w:rPr>
          <w:rFonts w:ascii="Times New Roman" w:cs="Times New Roman" w:hAnsi="Times New Roman"/>
          <w:sz w:val="22"/>
          <w:szCs w:val="22"/>
        </w:rPr>
        <w:t>A multistage random sampling method was used to select 165 pregnant women attending antenatal clinics at hospitals in Okitipupa. Quantitative method was used for data collection. A self – administered was used for</w:t>
      </w:r>
      <w:r>
        <w:rPr>
          <w:rFonts w:ascii="Times New Roman" w:cs="Times New Roman" w:hAnsi="Times New Roman"/>
          <w:sz w:val="22"/>
          <w:szCs w:val="22"/>
        </w:rPr>
        <w:t xml:space="preserve"> data collection. Data was analyzed using SPSS version 23.</w:t>
      </w:r>
    </w:p>
    <w:p>
      <w:pPr>
        <w:pStyle w:val="style0"/>
        <w:spacing w:lineRule="auto" w:line="360"/>
        <w:jc w:val="both"/>
        <w:rPr>
          <w:rFonts w:ascii="Times New Roman" w:cs="Times New Roman" w:hAnsi="Times New Roman"/>
          <w:sz w:val="22"/>
          <w:szCs w:val="22"/>
        </w:rPr>
      </w:pPr>
      <w:r>
        <w:rPr>
          <w:rFonts w:ascii="Times New Roman" w:cs="Times New Roman" w:hAnsi="Times New Roman"/>
          <w:b/>
          <w:sz w:val="22"/>
          <w:szCs w:val="22"/>
        </w:rPr>
        <w:t xml:space="preserve">RESULTS: </w:t>
      </w:r>
      <w:r>
        <w:rPr>
          <w:rFonts w:ascii="Times New Roman" w:cs="Times New Roman" w:hAnsi="Times New Roman"/>
          <w:sz w:val="22"/>
          <w:szCs w:val="22"/>
        </w:rPr>
        <w:t xml:space="preserve">The mean age of the respondents was 28.6 </w:t>
      </w:r>
      <w:r>
        <w:rPr>
          <w:rFonts w:ascii="Times New Roman" w:cs="Times New Roman" w:hAnsi="Times New Roman"/>
          <w:sz w:val="22"/>
          <w:szCs w:val="22"/>
          <w:u w:val="single"/>
        </w:rPr>
        <w:t>+</w:t>
      </w:r>
      <w:r>
        <w:rPr>
          <w:rFonts w:ascii="Times New Roman" w:cs="Times New Roman" w:hAnsi="Times New Roman"/>
          <w:sz w:val="22"/>
          <w:szCs w:val="22"/>
        </w:rPr>
        <w:t xml:space="preserve"> 5.1 years, 66.1% were between 26 – 35 years, 95.2% were Christians, 84.2% were Yoruba, and 52.7% had secondary school education, 81.8% have had 1</w:t>
      </w:r>
      <w:r>
        <w:rPr>
          <w:rFonts w:ascii="Times New Roman" w:cs="Times New Roman" w:hAnsi="Times New Roman"/>
          <w:sz w:val="22"/>
          <w:szCs w:val="22"/>
        </w:rPr>
        <w:t xml:space="preserve"> – 3 pregnancies and births, 40.6% were in their third trimesters. 35.8% were traders. The chi – square revealed that there is a relationship between age (p&lt;0.001), level of education (P&lt;0.000), health care centre (P&lt;0.001) and Knowledge, Attitudes and Per</w:t>
      </w:r>
      <w:r>
        <w:rPr>
          <w:rFonts w:ascii="Times New Roman" w:cs="Times New Roman" w:hAnsi="Times New Roman"/>
          <w:sz w:val="22"/>
          <w:szCs w:val="22"/>
        </w:rPr>
        <w:t>ceptions of malaria in pregnancy.</w:t>
      </w:r>
    </w:p>
    <w:p>
      <w:pPr>
        <w:pStyle w:val="style0"/>
        <w:spacing w:lineRule="auto" w:line="360"/>
        <w:jc w:val="both"/>
        <w:rPr>
          <w:rFonts w:ascii="Times New Roman" w:cs="Times New Roman" w:hAnsi="Times New Roman"/>
          <w:sz w:val="22"/>
          <w:szCs w:val="22"/>
        </w:rPr>
      </w:pPr>
      <w:r>
        <w:rPr>
          <w:rFonts w:ascii="Times New Roman" w:cs="Times New Roman" w:hAnsi="Times New Roman"/>
          <w:b/>
          <w:sz w:val="22"/>
          <w:szCs w:val="22"/>
        </w:rPr>
        <w:t>CONCLUSION:</w:t>
      </w:r>
      <w:r>
        <w:rPr>
          <w:rFonts w:ascii="Times New Roman" w:cs="Times New Roman" w:hAnsi="Times New Roman"/>
          <w:sz w:val="22"/>
          <w:szCs w:val="22"/>
        </w:rPr>
        <w:t xml:space="preserve"> This study therefore concluded that malaria in pregnancy is a global burden which it’s present and future effects are very dangerous to the health of the individual, mother and the foetus in the womb, family, s</w:t>
      </w:r>
      <w:r>
        <w:rPr>
          <w:rFonts w:ascii="Times New Roman" w:cs="Times New Roman" w:hAnsi="Times New Roman"/>
          <w:sz w:val="22"/>
          <w:szCs w:val="22"/>
        </w:rPr>
        <w:t xml:space="preserve">ociety and the nation at large. It is therefore recommended that health education on malaria in pregnancy should be upheld in high esteem. </w:t>
      </w:r>
      <w:r>
        <w:rPr>
          <w:rFonts w:ascii="Times New Roman" w:cs="Times New Roman" w:hAnsi="Times New Roman"/>
          <w:color w:val="000000"/>
          <w:sz w:val="22"/>
          <w:szCs w:val="22"/>
        </w:rPr>
        <w:t xml:space="preserve">A clear understanding of the knowledge, attitudes and perceptions of a particular community can inform the design of </w:t>
      </w:r>
      <w:r>
        <w:rPr>
          <w:rFonts w:ascii="Times New Roman" w:cs="Times New Roman" w:hAnsi="Times New Roman"/>
          <w:color w:val="000000"/>
          <w:sz w:val="22"/>
          <w:szCs w:val="22"/>
        </w:rPr>
        <w:t>Behavioural Change Communication (BCC) campaigns to measure the risk influence acceptance and use of any malaria control measures.</w:t>
      </w:r>
    </w:p>
    <w:p>
      <w:pPr>
        <w:pStyle w:val="style0"/>
        <w:spacing w:lineRule="auto" w:line="360"/>
        <w:jc w:val="both"/>
        <w:rPr/>
      </w:pPr>
      <w:r>
        <w:rPr>
          <w:rFonts w:ascii="Times New Roman" w:cs="Times New Roman" w:hAnsi="Times New Roman"/>
          <w:b/>
          <w:sz w:val="22"/>
          <w:szCs w:val="22"/>
        </w:rPr>
        <w:t>Keywords: Knowledge, Attitudes, Perceptions, Malaria, Pregnancy</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I</w:t>
      </w:r>
      <w:r>
        <w:rPr>
          <w:rFonts w:ascii="Times New Roman" w:cs="Times New Roman" w:hAnsi="Times New Roman"/>
          <w:b/>
          <w:sz w:val="22"/>
          <w:szCs w:val="22"/>
        </w:rPr>
        <w:t>NTRODUCTION</w:t>
      </w:r>
    </w:p>
    <w:p>
      <w:pPr>
        <w:pStyle w:val="style0"/>
        <w:spacing w:after="0" w:lineRule="auto" w:line="360"/>
        <w:jc w:val="both"/>
        <w:rPr>
          <w:rFonts w:ascii="Times New Roman" w:cs="Times New Roman" w:eastAsia="SimSun" w:hAnsi="Times New Roman"/>
          <w:color w:val="000000"/>
          <w:sz w:val="22"/>
          <w:szCs w:val="22"/>
        </w:rPr>
      </w:pPr>
      <w:r>
        <w:rPr>
          <w:rFonts w:ascii="Times New Roman" w:cs="Times New Roman" w:eastAsia="BookmanOldStyle" w:hAnsi="Times New Roman"/>
          <w:color w:val="000000"/>
          <w:sz w:val="22"/>
          <w:szCs w:val="22"/>
        </w:rPr>
        <w:t>Malaria is a life threatening parasitic disease</w:t>
      </w:r>
      <w:r>
        <w:rPr>
          <w:rFonts w:ascii="Times New Roman" w:cs="Times New Roman" w:eastAsia="BookmanOldStyle" w:hAnsi="Times New Roman"/>
          <w:color w:val="000000"/>
          <w:sz w:val="22"/>
          <w:szCs w:val="22"/>
        </w:rPr>
        <w:t xml:space="preserve"> transmitted by female </w:t>
      </w:r>
      <w:r>
        <w:rPr>
          <w:rFonts w:ascii="Times New Roman" w:cs="Times New Roman" w:eastAsia="BookmanOldStyle-Italic" w:hAnsi="Times New Roman"/>
          <w:color w:val="000000"/>
          <w:sz w:val="22"/>
          <w:szCs w:val="22"/>
        </w:rPr>
        <w:t xml:space="preserve">Anopheles </w:t>
      </w:r>
      <w:r>
        <w:rPr>
          <w:rFonts w:ascii="Times New Roman" w:cs="Times New Roman" w:eastAsia="BookmanOldStyle" w:hAnsi="Times New Roman"/>
          <w:color w:val="000000"/>
          <w:sz w:val="22"/>
          <w:szCs w:val="22"/>
        </w:rPr>
        <w:t xml:space="preserve">mosquitoes. The </w:t>
      </w:r>
      <w:r>
        <w:rPr>
          <w:rFonts w:ascii="Times New Roman" w:cs="Times New Roman" w:eastAsia="SimSun" w:hAnsi="Times New Roman"/>
          <w:color w:val="000000"/>
          <w:sz w:val="22"/>
          <w:szCs w:val="22"/>
        </w:rPr>
        <w:t>infection during pregnancy is a major public health problem in tropical and subtropical regions of the world. In most endemic areas of Africa, pregnant women are the main adult risk group for malaria. Every year at least 30 million women in malaria prone a</w:t>
      </w:r>
      <w:r>
        <w:rPr>
          <w:rFonts w:ascii="Times New Roman" w:cs="Times New Roman" w:eastAsia="SimSun" w:hAnsi="Times New Roman"/>
          <w:color w:val="000000"/>
          <w:sz w:val="22"/>
          <w:szCs w:val="22"/>
        </w:rPr>
        <w:t xml:space="preserve">reas of Africa become pregnant; most of these women live in areas of relatively stable malaria transmission (WHO, 2005). </w:t>
      </w:r>
    </w:p>
    <w:p>
      <w:pPr>
        <w:pStyle w:val="style0"/>
        <w:spacing w:before="240" w:lineRule="auto" w:line="360"/>
        <w:jc w:val="both"/>
        <w:rPr>
          <w:rFonts w:ascii="Times New Roman" w:cs="Times New Roman" w:eastAsia="SimSun" w:hAnsi="Times New Roman"/>
          <w:color w:val="000000"/>
          <w:sz w:val="22"/>
          <w:szCs w:val="22"/>
        </w:rPr>
      </w:pPr>
      <w:r>
        <w:rPr>
          <w:rFonts w:ascii="Times New Roman" w:cs="Times New Roman" w:eastAsia="TrebuchetMS" w:hAnsi="Times New Roman"/>
          <w:color w:val="000000"/>
          <w:sz w:val="22"/>
          <w:szCs w:val="22"/>
        </w:rPr>
        <w:t>Malaria in pregnancy is an obstetric, social and medical problem in most parts of the world particularly the tropical and sub – tropic</w:t>
      </w:r>
      <w:r>
        <w:rPr>
          <w:rFonts w:ascii="Times New Roman" w:cs="Times New Roman" w:eastAsia="TrebuchetMS" w:hAnsi="Times New Roman"/>
          <w:color w:val="000000"/>
          <w:sz w:val="22"/>
          <w:szCs w:val="22"/>
        </w:rPr>
        <w:t xml:space="preserve">al countries. </w:t>
      </w:r>
      <w:r>
        <w:rPr>
          <w:rFonts w:ascii="Times New Roman" w:cs="Times New Roman" w:eastAsia="Calibri" w:hAnsi="Times New Roman"/>
          <w:sz w:val="22"/>
          <w:szCs w:val="22"/>
          <w:lang w:val="en-US" w:eastAsia="en-US"/>
        </w:rPr>
        <w:t>Moreover, approximately 50 million women are living in malaria – endemic countries throughout the world become pregnant in each year. It is worth noting that, malaria worsens during pregnancy and together with anaemia is responsible for 10,00</w:t>
      </w:r>
      <w:r>
        <w:rPr>
          <w:rFonts w:ascii="Times New Roman" w:cs="Times New Roman" w:eastAsia="Calibri" w:hAnsi="Times New Roman"/>
          <w:sz w:val="22"/>
          <w:szCs w:val="22"/>
          <w:lang w:val="en-US" w:eastAsia="en-US"/>
        </w:rPr>
        <w:t>0 maternal deaths and 200,000 infant deaths per year (Steketee RW et al., 2001; Murphy SC and Breman JG</w:t>
      </w:r>
      <w:r>
        <w:rPr>
          <w:rFonts w:ascii="Times New Roman" w:cs="Times New Roman" w:eastAsia="Calibri" w:hAnsi="Times New Roman"/>
          <w:iCs/>
          <w:sz w:val="22"/>
          <w:szCs w:val="22"/>
          <w:lang w:val="en-US" w:eastAsia="en-US"/>
        </w:rPr>
        <w:t xml:space="preserve">, </w:t>
      </w:r>
      <w:r>
        <w:rPr>
          <w:rFonts w:ascii="Times New Roman" w:cs="Times New Roman" w:eastAsia="Calibri" w:hAnsi="Times New Roman"/>
          <w:sz w:val="22"/>
          <w:szCs w:val="22"/>
          <w:lang w:val="en-US" w:eastAsia="en-US"/>
        </w:rPr>
        <w:t xml:space="preserve">2001). </w:t>
      </w:r>
    </w:p>
    <w:p>
      <w:pPr>
        <w:pStyle w:val="style0"/>
        <w:spacing w:before="240" w:lineRule="auto" w:line="360"/>
        <w:jc w:val="both"/>
        <w:rPr>
          <w:rFonts w:ascii="Times New Roman" w:cs="Times New Roman" w:eastAsia="SimSun" w:hAnsi="Times New Roman"/>
          <w:color w:val="000000"/>
          <w:sz w:val="22"/>
          <w:szCs w:val="22"/>
        </w:rPr>
      </w:pPr>
      <w:r>
        <w:rPr>
          <w:rFonts w:ascii="Times New Roman" w:cs="Times New Roman" w:eastAsia="SimSun" w:hAnsi="Times New Roman"/>
          <w:color w:val="000000"/>
          <w:sz w:val="22"/>
          <w:szCs w:val="22"/>
        </w:rPr>
        <w:t xml:space="preserve">The main burden of malaria infection during pregnancy results from infection with Plasmodium falciparum. (P. falciparum). </w:t>
      </w:r>
      <w:r>
        <w:rPr>
          <w:rFonts w:ascii="Times New Roman" w:cs="Times New Roman" w:eastAsia="ScalaLancetPro" w:hAnsi="Times New Roman"/>
          <w:color w:val="000000"/>
          <w:sz w:val="22"/>
          <w:szCs w:val="22"/>
        </w:rPr>
        <w:t xml:space="preserve">Pregnant women are known to be more susceptible than non-pregnant women to malaria, and this susceptibility is greatest in first and second pregnancy. </w:t>
      </w:r>
      <w:r>
        <w:rPr>
          <w:rFonts w:ascii="Times New Roman" w:cs="Times New Roman" w:eastAsia="SimSun" w:hAnsi="Times New Roman"/>
          <w:color w:val="000000"/>
          <w:sz w:val="22"/>
          <w:szCs w:val="22"/>
        </w:rPr>
        <w:t xml:space="preserve">Maternal death may result either directly from severe malaria or indirectly from malaria –related severe </w:t>
      </w:r>
      <w:r>
        <w:rPr>
          <w:rFonts w:ascii="Times New Roman" w:cs="Times New Roman" w:eastAsia="SimSun" w:hAnsi="Times New Roman"/>
          <w:color w:val="000000"/>
          <w:sz w:val="22"/>
          <w:szCs w:val="22"/>
        </w:rPr>
        <w:t xml:space="preserve">anaemia. In addition, malaria may result in a range of adverse pregnancy outcomes, including low birth weight (LBW), spontaneous abortion and neonatal death (WHO, 2003). </w:t>
      </w:r>
    </w:p>
    <w:p>
      <w:pPr>
        <w:pStyle w:val="style0"/>
        <w:spacing w:before="240" w:lineRule="auto" w:line="360"/>
        <w:jc w:val="both"/>
        <w:rPr>
          <w:rFonts w:ascii="Times New Roman" w:cs="Times New Roman" w:eastAsia="SimSun" w:hAnsi="Times New Roman"/>
          <w:color w:val="000000"/>
          <w:sz w:val="22"/>
          <w:szCs w:val="22"/>
        </w:rPr>
      </w:pPr>
      <w:r>
        <w:rPr>
          <w:rFonts w:ascii="Times New Roman" w:cs="Times New Roman" w:eastAsia="SimSun" w:hAnsi="Times New Roman"/>
          <w:color w:val="000000"/>
          <w:sz w:val="22"/>
          <w:szCs w:val="22"/>
        </w:rPr>
        <w:t>There has been an increase in human and financial commitments to the control of malar</w:t>
      </w:r>
      <w:r>
        <w:rPr>
          <w:rFonts w:ascii="Times New Roman" w:cs="Times New Roman" w:eastAsia="SimSun" w:hAnsi="Times New Roman"/>
          <w:color w:val="000000"/>
          <w:sz w:val="22"/>
          <w:szCs w:val="22"/>
        </w:rPr>
        <w:t>ia nationally and internationally. It creates a major challenge and of public concern in Nigeria with a high prevalence rate. Federal Ministry of Health (2008) posited that malaria accounts for 110 million clinical cases annually.  It stated further that m</w:t>
      </w:r>
      <w:r>
        <w:rPr>
          <w:rFonts w:ascii="Times New Roman" w:cs="Times New Roman" w:eastAsia="SimSun" w:hAnsi="Times New Roman"/>
          <w:color w:val="000000"/>
          <w:sz w:val="22"/>
          <w:szCs w:val="22"/>
        </w:rPr>
        <w:t xml:space="preserve">alaria has great impact on the nation’s economy as about N132 billion is lost to malaria in form of treatment, cost, preventive and loss of man hours. </w:t>
      </w:r>
      <w:r>
        <w:rPr>
          <w:rFonts w:ascii="Times New Roman" w:cs="Times New Roman" w:eastAsia="Calibri" w:hAnsi="Times New Roman"/>
          <w:sz w:val="22"/>
          <w:szCs w:val="22"/>
          <w:lang w:val="en-US" w:eastAsia="en-US"/>
        </w:rPr>
        <w:t xml:space="preserve">The burden of malaria contributes substantially to the poor health situation in Africa and still remains </w:t>
      </w:r>
      <w:r>
        <w:rPr>
          <w:rFonts w:ascii="Times New Roman" w:cs="Times New Roman" w:eastAsia="Calibri" w:hAnsi="Times New Roman"/>
          <w:sz w:val="22"/>
          <w:szCs w:val="22"/>
          <w:lang w:val="en-US" w:eastAsia="en-US"/>
        </w:rPr>
        <w:t>a major global problem (WHO/UNICEF, 2005). It has devastating effects on both health and development, exacting its greatest toll on the world’s poorest and most marginalized (WHO/UNICEF, 2005).</w:t>
      </w:r>
    </w:p>
    <w:p>
      <w:pPr>
        <w:pStyle w:val="style0"/>
        <w:autoSpaceDE w:val="false"/>
        <w:autoSpaceDN w:val="false"/>
        <w:adjustRightInd w:val="false"/>
        <w:spacing w:before="240" w:after="0" w:lineRule="auto" w:line="360"/>
        <w:jc w:val="both"/>
        <w:rPr>
          <w:rFonts w:ascii="Times New Roman" w:cs="Times New Roman" w:eastAsia="BookmanOldStyle" w:hAnsi="Times New Roman"/>
          <w:color w:val="000000"/>
          <w:sz w:val="22"/>
          <w:szCs w:val="22"/>
        </w:rPr>
      </w:pPr>
      <w:r>
        <w:rPr>
          <w:rFonts w:ascii="Times New Roman" w:cs="Times New Roman" w:eastAsia="SimSun" w:hAnsi="Times New Roman"/>
          <w:color w:val="000000"/>
          <w:sz w:val="22"/>
          <w:szCs w:val="22"/>
        </w:rPr>
        <w:t>Malaria is a major public health problem in Nigeria where it a</w:t>
      </w:r>
      <w:r>
        <w:rPr>
          <w:rFonts w:ascii="Times New Roman" w:cs="Times New Roman" w:eastAsia="SimSun" w:hAnsi="Times New Roman"/>
          <w:color w:val="000000"/>
          <w:sz w:val="22"/>
          <w:szCs w:val="22"/>
        </w:rPr>
        <w:t xml:space="preserve">ccounts for more cases and deaths than any other country in the world (Nigeria Malaria Factboook, 2011). Malaria is a risk for 97% of Nigeria’s population and contributes to an estimated 11% of maternal mortality. (Nigeria Malaria Factboook, 2011). </w:t>
      </w:r>
      <w:r>
        <w:rPr>
          <w:rFonts w:ascii="Times New Roman" w:cs="Times New Roman" w:eastAsia="BookmanOldStyle" w:hAnsi="Times New Roman"/>
          <w:color w:val="000000"/>
          <w:sz w:val="22"/>
          <w:szCs w:val="22"/>
        </w:rPr>
        <w:t>Early d</w:t>
      </w:r>
      <w:r>
        <w:rPr>
          <w:rFonts w:ascii="Times New Roman" w:cs="Times New Roman" w:eastAsia="BookmanOldStyle" w:hAnsi="Times New Roman"/>
          <w:color w:val="000000"/>
          <w:sz w:val="22"/>
          <w:szCs w:val="22"/>
        </w:rPr>
        <w:t xml:space="preserve">iagnosis and prompt effective treatment of malaria illness has been a cornerstone of malaria control (Vander </w:t>
      </w:r>
      <w:r>
        <w:rPr>
          <w:rFonts w:ascii="Times New Roman" w:cs="Times New Roman" w:eastAsia="BookmanOldStyle-Italic" w:hAnsi="Times New Roman"/>
          <w:color w:val="000000"/>
          <w:sz w:val="22"/>
          <w:szCs w:val="22"/>
        </w:rPr>
        <w:t xml:space="preserve">et al., </w:t>
      </w:r>
      <w:r>
        <w:rPr>
          <w:rFonts w:ascii="Times New Roman" w:cs="Times New Roman" w:eastAsia="BookmanOldStyle" w:hAnsi="Times New Roman"/>
          <w:color w:val="000000"/>
          <w:sz w:val="22"/>
          <w:szCs w:val="22"/>
        </w:rPr>
        <w:t xml:space="preserve">2005). </w:t>
      </w:r>
      <w:r>
        <w:rPr>
          <w:rFonts w:ascii="Times New Roman" w:cs="Times New Roman" w:eastAsia="SimSun" w:hAnsi="Times New Roman"/>
          <w:color w:val="000000"/>
          <w:sz w:val="22"/>
          <w:szCs w:val="22"/>
        </w:rPr>
        <w:t xml:space="preserve">This study therefore seeks to investigate the pregnant women in Okitipupa community’s knowledge, attitudes and perceptions (KAP) on malaria in pregnancy (MiP). </w:t>
      </w:r>
      <w:r>
        <w:rPr>
          <w:rFonts w:ascii="Times New Roman" w:cs="Times New Roman" w:eastAsia="BookmanOldStyle" w:hAnsi="Times New Roman"/>
          <w:color w:val="000000"/>
          <w:sz w:val="22"/>
          <w:szCs w:val="22"/>
        </w:rPr>
        <w:t xml:space="preserve"> </w:t>
      </w:r>
    </w:p>
    <w:p>
      <w:pPr>
        <w:pStyle w:val="style0"/>
        <w:spacing w:before="240" w:after="0" w:lineRule="auto" w:line="360"/>
        <w:jc w:val="both"/>
        <w:rPr>
          <w:rFonts w:ascii="Times New Roman" w:cs="Times New Roman" w:hAnsi="Times New Roman"/>
          <w:b/>
          <w:sz w:val="22"/>
          <w:szCs w:val="22"/>
        </w:rPr>
      </w:pP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METHODS</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Study area</w:t>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This study was conducted in Okitipupa, Ondo State. It has always been known</w:t>
      </w:r>
      <w:r>
        <w:rPr>
          <w:rFonts w:ascii="Times New Roman" w:cs="Times New Roman" w:hAnsi="Times New Roman"/>
          <w:sz w:val="22"/>
          <w:szCs w:val="22"/>
        </w:rPr>
        <w:t xml:space="preserve"> as Ode – Idepe. The name Okitipupa originated from the elevation of the town and the colour of the soil which is red in colour referred to in Yoruba language and its dialects as 'pupa'. Okitipupa is derived from Yoruba language Okiti (Hilly) and Pupa (Red</w:t>
      </w:r>
      <w:r>
        <w:rPr>
          <w:rFonts w:ascii="Times New Roman" w:cs="Times New Roman" w:hAnsi="Times New Roman"/>
          <w:sz w:val="22"/>
          <w:szCs w:val="22"/>
        </w:rPr>
        <w:t>). There are various rivers in this Local Government Area like River Oluwa, Ofe, Miller, Yewa, Obondepe, Logoji and others that are numerous to mention that all goes to the Atlantic Ocean. The presence of various rivers in this area provides breeding place</w:t>
      </w:r>
      <w:r>
        <w:rPr>
          <w:rFonts w:ascii="Times New Roman" w:cs="Times New Roman" w:hAnsi="Times New Roman"/>
          <w:sz w:val="22"/>
          <w:szCs w:val="22"/>
        </w:rPr>
        <w:t>s for mosquitoes to develop from egg to adult mosquito stage. This has contributes to an increase in malaria in pregnancy among women attending antenatal clinic in Okitipupa, Ondo State. It has a Specialist Hospital, several Private Hospitals and Primary H</w:t>
      </w:r>
      <w:r>
        <w:rPr>
          <w:rFonts w:ascii="Times New Roman" w:cs="Times New Roman" w:hAnsi="Times New Roman"/>
          <w:sz w:val="22"/>
          <w:szCs w:val="22"/>
        </w:rPr>
        <w:t>ealth Care (PHC) facilities that provide antenatal care services for the pregnant women in Okitipupa. The residents of Okitipupa are predominantly farmers. It has an area of 803 km² and a population of 272,030 (est. as at 2011).</w:t>
      </w:r>
    </w:p>
    <w:p>
      <w:pPr>
        <w:pStyle w:val="style0"/>
        <w:spacing w:before="240" w:after="0" w:lineRule="auto" w:line="360"/>
        <w:jc w:val="both"/>
        <w:rPr>
          <w:rFonts w:ascii="Times New Roman" w:cs="Times New Roman" w:hAnsi="Times New Roman"/>
          <w:sz w:val="22"/>
          <w:szCs w:val="22"/>
        </w:rPr>
      </w:pPr>
      <w:r>
        <w:rPr>
          <w:rFonts w:ascii="Times New Roman" w:cs="Times New Roman" w:hAnsi="Times New Roman"/>
          <w:b/>
          <w:sz w:val="22"/>
          <w:szCs w:val="22"/>
        </w:rPr>
        <w:t>Study population</w:t>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 xml:space="preserve">The study </w:t>
      </w:r>
      <w:r>
        <w:rPr>
          <w:rFonts w:ascii="Times New Roman" w:cs="Times New Roman" w:hAnsi="Times New Roman"/>
          <w:sz w:val="22"/>
          <w:szCs w:val="22"/>
        </w:rPr>
        <w:t>population comprises of all the pregnant women attending antenatal clinics at hospitals in Okitipupa, Ondo state. Leslie Kish formula (n = Z²×pq/d²) was used for calculating sample size. (Where; z² = 1.96², p = 11% (World Malaria Report, 2011), q = 1-p, d²</w:t>
      </w:r>
      <w:r>
        <w:rPr>
          <w:rFonts w:ascii="Times New Roman" w:cs="Times New Roman" w:hAnsi="Times New Roman"/>
          <w:sz w:val="22"/>
          <w:szCs w:val="22"/>
        </w:rPr>
        <w:t xml:space="preserve"> = 0.05²).</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Study design and sampling</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sz w:val="22"/>
          <w:szCs w:val="22"/>
        </w:rPr>
        <w:t>A cross – sectional descriptive method was adopted. A multistage sampling method was used in selecting the respondents from State Specialist Hospital and Comprehensive Health Centre, Ebute, Okitipupa which are both gove</w:t>
      </w:r>
      <w:r>
        <w:rPr>
          <w:rFonts w:ascii="Times New Roman" w:cs="Times New Roman" w:hAnsi="Times New Roman"/>
          <w:sz w:val="22"/>
          <w:szCs w:val="22"/>
        </w:rPr>
        <w:t>rnment owned health facilities.</w:t>
      </w:r>
      <w:r>
        <w:rPr>
          <w:rFonts w:ascii="Times New Roman" w:cs="Times New Roman" w:hAnsi="Times New Roman"/>
          <w:b/>
          <w:sz w:val="22"/>
          <w:szCs w:val="22"/>
        </w:rPr>
        <w:t xml:space="preserve"> </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Data collection methods</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bCs/>
          <w:sz w:val="22"/>
          <w:szCs w:val="22"/>
        </w:rPr>
        <w:t xml:space="preserve">Information was collected using </w:t>
      </w:r>
      <w:r>
        <w:rPr>
          <w:rFonts w:ascii="Times New Roman" w:cs="Times New Roman" w:hAnsi="Times New Roman"/>
          <w:color w:val="000000"/>
          <w:sz w:val="22"/>
          <w:szCs w:val="22"/>
        </w:rPr>
        <w:t xml:space="preserve">self – administered questionnaire. </w:t>
      </w:r>
      <w:r>
        <w:rPr>
          <w:rFonts w:ascii="Times New Roman" w:cs="Times New Roman" w:hAnsi="Times New Roman"/>
          <w:sz w:val="22"/>
          <w:szCs w:val="22"/>
        </w:rPr>
        <w:t>Questionnaire was pretested and used to collect data from the sample of population. 165 pregnant women were sampled and administered</w:t>
      </w:r>
      <w:r>
        <w:rPr>
          <w:rFonts w:ascii="Times New Roman" w:cs="Times New Roman" w:hAnsi="Times New Roman"/>
          <w:sz w:val="22"/>
          <w:szCs w:val="22"/>
        </w:rPr>
        <w:t xml:space="preserve"> questionnaires to. The questionnaire comprised of questions on Socio – Demographic information, Knowledge on malaria in pregnancy, Attitude towards malaria in pregnancy and Perceptions on malaria in pregnancy.</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Data analysis</w:t>
      </w:r>
      <w:r>
        <w:rPr>
          <w:rFonts w:ascii="Times New Roman" w:cs="Times New Roman" w:hAnsi="Times New Roman"/>
          <w:sz w:val="22"/>
          <w:szCs w:val="22"/>
        </w:rPr>
        <w:t xml:space="preserve"> </w:t>
      </w:r>
    </w:p>
    <w:p>
      <w:pPr>
        <w:pStyle w:val="style0"/>
        <w:spacing w:lineRule="auto" w:line="360"/>
        <w:jc w:val="both"/>
        <w:rPr>
          <w:rFonts w:ascii="Times New Roman" w:cs="Times New Roman" w:hAnsi="Times New Roman"/>
          <w:sz w:val="22"/>
          <w:szCs w:val="22"/>
        </w:rPr>
      </w:pPr>
      <w:r>
        <w:rPr>
          <w:rFonts w:ascii="Times New Roman" w:cs="Times New Roman" w:hAnsi="Times New Roman"/>
          <w:sz w:val="22"/>
          <w:szCs w:val="22"/>
        </w:rPr>
        <w:t>The responses of the responden</w:t>
      </w:r>
      <w:r>
        <w:rPr>
          <w:rFonts w:ascii="Times New Roman" w:cs="Times New Roman" w:hAnsi="Times New Roman"/>
          <w:sz w:val="22"/>
          <w:szCs w:val="22"/>
        </w:rPr>
        <w:t xml:space="preserve">ts were analyzed using Statistical Package for Service Solutions (SPSS) Version 23. The computation was done using tables, charts, means and simple percentages. The research statistics was tested at 0.05% level of significance and </w:t>
      </w:r>
      <w:r>
        <w:rPr>
          <w:rStyle w:val="style4099"/>
          <w:rFonts w:ascii="Times New Roman" w:cs="Times New Roman" w:hAnsi="Times New Roman"/>
          <w:sz w:val="22"/>
          <w:szCs w:val="22"/>
        </w:rPr>
        <w:t>bivariate</w:t>
      </w:r>
      <w:r>
        <w:rPr>
          <w:rFonts w:ascii="Times New Roman" w:cs="Times New Roman" w:hAnsi="Times New Roman"/>
          <w:color w:val="000000"/>
          <w:sz w:val="22"/>
          <w:szCs w:val="22"/>
        </w:rPr>
        <w:t xml:space="preserve"> </w:t>
      </w:r>
      <w:r>
        <w:rPr>
          <w:rStyle w:val="style4099"/>
          <w:rFonts w:ascii="Times New Roman" w:cs="Times New Roman" w:hAnsi="Times New Roman"/>
          <w:sz w:val="22"/>
          <w:szCs w:val="22"/>
        </w:rPr>
        <w:t>analysis was do</w:t>
      </w:r>
      <w:r>
        <w:rPr>
          <w:rStyle w:val="style4099"/>
          <w:rFonts w:ascii="Times New Roman" w:cs="Times New Roman" w:hAnsi="Times New Roman"/>
          <w:sz w:val="22"/>
          <w:szCs w:val="22"/>
        </w:rPr>
        <w:t>ne with chi-square test</w:t>
      </w:r>
      <w:r>
        <w:rPr>
          <w:rFonts w:ascii="Times New Roman" w:cs="Times New Roman" w:hAnsi="Times New Roman"/>
          <w:sz w:val="22"/>
          <w:szCs w:val="22"/>
        </w:rPr>
        <w:t>.</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Inclusion and Exclusion Criteria</w:t>
      </w:r>
    </w:p>
    <w:p>
      <w:pPr>
        <w:pStyle w:val="style0"/>
        <w:spacing w:lineRule="auto" w:line="360"/>
        <w:jc w:val="both"/>
        <w:rPr>
          <w:rFonts w:ascii="Times New Roman" w:cs="Times New Roman" w:hAnsi="Times New Roman"/>
          <w:sz w:val="22"/>
          <w:szCs w:val="24"/>
        </w:rPr>
      </w:pPr>
      <w:r>
        <w:rPr>
          <w:rFonts w:ascii="Times New Roman" w:cs="Times New Roman" w:hAnsi="Times New Roman"/>
          <w:b/>
          <w:sz w:val="22"/>
          <w:szCs w:val="24"/>
        </w:rPr>
        <w:t>Inclusion Criteria:</w:t>
      </w:r>
      <w:r>
        <w:rPr>
          <w:rFonts w:ascii="Times New Roman" w:cs="Times New Roman" w:hAnsi="Times New Roman"/>
          <w:sz w:val="22"/>
          <w:szCs w:val="24"/>
        </w:rPr>
        <w:t xml:space="preserve"> Only Pregnant women in their first, second or third trimester, pregnant women with multiple gravidae attending antenatal clinics in Okitipupa, Ondo State</w:t>
      </w:r>
    </w:p>
    <w:p>
      <w:pPr>
        <w:pStyle w:val="style0"/>
        <w:spacing w:lineRule="auto" w:line="360"/>
        <w:jc w:val="both"/>
        <w:rPr>
          <w:rFonts w:ascii="Times New Roman" w:cs="Times New Roman" w:hAnsi="Times New Roman"/>
          <w:sz w:val="22"/>
          <w:szCs w:val="24"/>
        </w:rPr>
      </w:pPr>
      <w:r>
        <w:rPr>
          <w:rFonts w:ascii="Times New Roman" w:cs="Times New Roman" w:hAnsi="Times New Roman"/>
          <w:b/>
          <w:sz w:val="22"/>
          <w:szCs w:val="24"/>
        </w:rPr>
        <w:t>Exclusion Criteria:</w:t>
      </w:r>
      <w:r>
        <w:rPr>
          <w:rFonts w:ascii="Times New Roman" w:cs="Times New Roman" w:hAnsi="Times New Roman"/>
          <w:sz w:val="22"/>
          <w:szCs w:val="24"/>
        </w:rPr>
        <w:t xml:space="preserve"> Female staff, non – pregnant women at hospitals in Okitipupa, Ondo State who are willing to partake in the survey.</w:t>
      </w:r>
    </w:p>
    <w:p>
      <w:pPr>
        <w:pStyle w:val="style0"/>
        <w:spacing w:before="240" w:after="0" w:lineRule="auto" w:line="360"/>
        <w:jc w:val="both"/>
        <w:rPr>
          <w:rFonts w:ascii="Times New Roman" w:cs="Times New Roman" w:hAnsi="Times New Roman"/>
          <w:b/>
          <w:sz w:val="22"/>
          <w:szCs w:val="22"/>
        </w:rPr>
        <w:sectPr>
          <w:footerReference w:type="default" r:id="rId2"/>
          <w:footerReference w:type="first" r:id="rId3"/>
          <w:type w:val="continuous"/>
          <w:pgSz w:w="11907" w:h="16839" w:orient="portrait"/>
          <w:pgMar w:top="1170" w:right="1440" w:bottom="900" w:left="1440" w:header="720" w:footer="720" w:gutter="0"/>
          <w:cols w:space="720"/>
          <w:titlePg/>
          <w:docGrid w:linePitch="360"/>
        </w:sectPr>
      </w:pPr>
    </w:p>
    <w:p>
      <w:pPr>
        <w:pStyle w:val="style0"/>
        <w:spacing w:before="240" w:after="0" w:lineRule="auto" w:line="360"/>
        <w:jc w:val="both"/>
        <w:rPr>
          <w:rFonts w:ascii="Times New Roman" w:cs="Times New Roman" w:hAnsi="Times New Roman"/>
          <w:sz w:val="22"/>
          <w:szCs w:val="22"/>
        </w:rPr>
      </w:pPr>
      <w:r>
        <w:rPr>
          <w:rFonts w:ascii="Times New Roman" w:cs="Times New Roman" w:hAnsi="Times New Roman"/>
          <w:b/>
          <w:bCs/>
          <w:sz w:val="22"/>
          <w:szCs w:val="22"/>
        </w:rPr>
        <w:t>Ethical consideration</w:t>
      </w:r>
      <w:r>
        <w:rPr>
          <w:rFonts w:ascii="Times New Roman" w:cs="Times New Roman" w:hAnsi="Times New Roman"/>
          <w:b/>
          <w:bCs/>
          <w:sz w:val="22"/>
          <w:szCs w:val="22"/>
        </w:rPr>
        <w:tab/>
      </w:r>
      <w:r>
        <w:rPr>
          <w:rFonts w:ascii="Times New Roman" w:cs="Times New Roman" w:hAnsi="Times New Roman"/>
          <w:b/>
          <w:bCs/>
          <w:sz w:val="22"/>
          <w:szCs w:val="22"/>
        </w:rPr>
        <w:tab/>
      </w:r>
      <w:r>
        <w:rPr>
          <w:rFonts w:ascii="Times New Roman" w:cs="Times New Roman" w:hAnsi="Times New Roman"/>
          <w:b/>
          <w:bCs/>
          <w:sz w:val="22"/>
          <w:szCs w:val="22"/>
        </w:rPr>
        <w:tab/>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Approval to conduct the research in the health facilities in Okitipupa was sought from the authority in the various health facilities. Informed consent was obtained from the respondents before administering the questionnaire and confidentiality of all resp</w:t>
      </w:r>
      <w:r>
        <w:rPr>
          <w:rFonts w:ascii="Times New Roman" w:cs="Times New Roman" w:hAnsi="Times New Roman"/>
          <w:sz w:val="22"/>
          <w:szCs w:val="22"/>
        </w:rPr>
        <w:t xml:space="preserve">ondents was ensured. </w:t>
      </w:r>
    </w:p>
    <w:p>
      <w:pPr>
        <w:pStyle w:val="style0"/>
        <w:spacing w:before="240" w:after="0" w:lineRule="auto" w:line="360"/>
        <w:jc w:val="both"/>
        <w:rPr>
          <w:rFonts w:ascii="Times New Roman" w:cs="Times New Roman" w:hAnsi="Times New Roman"/>
          <w:b/>
          <w:sz w:val="22"/>
          <w:szCs w:val="22"/>
        </w:rPr>
        <w:sectPr>
          <w:type w:val="continuous"/>
          <w:pgSz w:w="11907" w:h="16839" w:orient="portrait"/>
          <w:pgMar w:top="1170" w:right="1440" w:bottom="1350" w:left="1440" w:header="720" w:footer="720" w:gutter="0"/>
          <w:cols w:space="720"/>
          <w:titlePg/>
          <w:docGrid w:linePitch="360"/>
        </w:sectPr>
      </w:pPr>
    </w:p>
    <w:p>
      <w:pPr>
        <w:pStyle w:val="style0"/>
        <w:spacing w:after="0" w:lineRule="auto" w:line="360"/>
        <w:jc w:val="both"/>
        <w:rPr>
          <w:rFonts w:ascii="Times New Roman" w:cs="Times New Roman" w:hAnsi="Times New Roman"/>
          <w:b/>
          <w:sz w:val="22"/>
          <w:szCs w:val="22"/>
        </w:rPr>
      </w:pP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RESULTS</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Table 1: Socio – Demographic Characteristics of the respondents</w:t>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 xml:space="preserve">      (n=165)</w:t>
      </w:r>
    </w:p>
    <w:tbl>
      <w:tblPr>
        <w:tblStyle w:val="style154"/>
        <w:tblW w:w="9558" w:type="dxa"/>
        <w:tblLayout w:type="fixed"/>
        <w:tblLook w:val="04A0" w:firstRow="1" w:lastRow="0" w:firstColumn="1" w:lastColumn="0" w:noHBand="0" w:noVBand="1"/>
      </w:tblPr>
      <w:tblGrid>
        <w:gridCol w:w="3172"/>
        <w:gridCol w:w="3310"/>
        <w:gridCol w:w="3076"/>
      </w:tblGrid>
      <w:tr>
        <w:trPr>
          <w:trHeight w:val="227" w:hRule="atLeast"/>
        </w:trPr>
        <w:tc>
          <w:tcPr>
            <w:tcW w:w="3173" w:type="dxa"/>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Variables</w:t>
            </w:r>
          </w:p>
        </w:tc>
        <w:tc>
          <w:tcPr>
            <w:tcW w:w="3307" w:type="dxa"/>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Observable variables</w:t>
            </w:r>
          </w:p>
        </w:tc>
        <w:tc>
          <w:tcPr>
            <w:tcW w:w="3078" w:type="dxa"/>
            <w:tcBorders/>
          </w:tcPr>
          <w:p>
            <w:pPr>
              <w:pStyle w:val="style0"/>
              <w:spacing w:after="0" w:lineRule="auto" w:line="240"/>
              <w:jc w:val="both"/>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Frequency (%)</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Age group (in years)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 – 25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41 (24.9%)</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26 – 35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109 (66.1%)</w:t>
            </w:r>
          </w:p>
        </w:tc>
      </w:tr>
      <w:tr>
        <w:tblPrEx/>
        <w:trPr>
          <w:trHeight w:val="70" w:hRule="atLeast"/>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36 – 45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15 (9.1%)</w:t>
            </w:r>
          </w:p>
        </w:tc>
      </w:tr>
      <w:tr>
        <w:tblPrEx/>
        <w:trPr>
          <w:trHeight w:val="296" w:hRule="atLeast"/>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6390" w:type="dxa"/>
            <w:gridSpan w:val="2"/>
            <w:tcBorders>
              <w:top w:val="single" w:sz="4" w:space="0" w:color="auto"/>
              <w:left w:val="single" w:sz="4" w:space="0" w:color="auto"/>
              <w:bottom w:val="single" w:sz="4" w:space="0" w:color="auto"/>
            </w:tcBorders>
          </w:tcPr>
          <w:p>
            <w:pPr>
              <w:pStyle w:val="style0"/>
              <w:spacing w:after="0" w:lineRule="auto" w:line="240"/>
              <w:jc w:val="center"/>
              <w:rPr>
                <w:rFonts w:ascii="Times New Roman" w:cs="Times New Roman" w:hAnsi="Times New Roman"/>
                <w:color w:val="000000"/>
                <w:sz w:val="22"/>
                <w:szCs w:val="22"/>
                <w:lang w:val="en-US"/>
              </w:rPr>
            </w:pPr>
            <w:r>
              <w:rPr>
                <w:rFonts w:ascii="Times New Roman" w:cs="Times New Roman" w:hAnsi="Times New Roman"/>
                <w:b/>
                <w:color w:val="000000"/>
                <w:sz w:val="22"/>
                <w:szCs w:val="22"/>
                <w:lang w:val="en-US"/>
              </w:rPr>
              <w:t xml:space="preserve">Mean </w:t>
            </w:r>
            <w:r>
              <w:rPr>
                <w:rFonts w:ascii="Times New Roman" w:cs="Times New Roman" w:hAnsi="Times New Roman"/>
                <w:b/>
                <w:color w:val="000000"/>
                <w:sz w:val="22"/>
                <w:szCs w:val="22"/>
                <w:u w:val="single"/>
                <w:lang w:val="en-US"/>
              </w:rPr>
              <w:t>+</w:t>
            </w:r>
            <w:r>
              <w:rPr>
                <w:rFonts w:ascii="Times New Roman" w:cs="Times New Roman" w:hAnsi="Times New Roman"/>
                <w:b/>
                <w:color w:val="000000"/>
                <w:sz w:val="22"/>
                <w:szCs w:val="22"/>
                <w:lang w:val="en-US"/>
              </w:rPr>
              <w:t xml:space="preserve"> Std Deviation (28.6 </w:t>
            </w:r>
            <w:r>
              <w:rPr>
                <w:rFonts w:ascii="Times New Roman" w:cs="Times New Roman" w:hAnsi="Times New Roman"/>
                <w:b/>
                <w:color w:val="000000"/>
                <w:sz w:val="22"/>
                <w:szCs w:val="22"/>
                <w:u w:val="single"/>
                <w:lang w:val="en-US"/>
              </w:rPr>
              <w:t>+</w:t>
            </w:r>
            <w:r>
              <w:rPr>
                <w:rFonts w:ascii="Times New Roman" w:cs="Times New Roman" w:hAnsi="Times New Roman"/>
                <w:b/>
                <w:color w:val="000000"/>
                <w:sz w:val="22"/>
                <w:szCs w:val="22"/>
                <w:lang w:val="en-US"/>
              </w:rPr>
              <w:t xml:space="preserve"> 5.1)</w:t>
            </w:r>
          </w:p>
        </w:tc>
      </w:tr>
      <w:tr>
        <w:tblPrEx/>
        <w:trPr/>
        <w:tc>
          <w:tcPr>
            <w:tcW w:w="3168" w:type="dxa"/>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Gender</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Female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165 (100%)</w:t>
            </w:r>
          </w:p>
        </w:tc>
      </w:tr>
      <w:tr>
        <w:tblPrEx/>
        <w:trPr/>
        <w:tc>
          <w:tcPr>
            <w:tcW w:w="3168" w:type="dxa"/>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Marital status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Married</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165 (100%)</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Religion</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Christianity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157 (95.2%)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Islam</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 (4.2%)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Traditional</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 (0.6%)</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Ethnicity</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Yoruba</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139 (84.2%)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Hausa</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 (1.8%)</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Igbo</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 (6.1%)</w:t>
            </w:r>
          </w:p>
        </w:tc>
      </w:tr>
      <w:tr>
        <w:tblPrEx/>
        <w:trPr>
          <w:trHeight w:val="305" w:hRule="atLeast"/>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Others </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13 </w:t>
            </w:r>
            <w:r>
              <w:rPr>
                <w:rFonts w:ascii="Times New Roman" w:cs="Times New Roman" w:hAnsi="Times New Roman"/>
                <w:color w:val="000000"/>
                <w:sz w:val="22"/>
                <w:szCs w:val="22"/>
                <w:lang w:val="en-US"/>
              </w:rPr>
              <w:t>(7.9%)</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Number of pregnancies ever had and births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 – 3</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135 (81.8%)</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4 – 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 (9.7%)</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6 and above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14 (8.5%)</w:t>
            </w:r>
          </w:p>
        </w:tc>
      </w:tr>
      <w:tr>
        <w:tblPrEx/>
        <w:trPr/>
        <w:tc>
          <w:tcPr>
            <w:tcW w:w="3168" w:type="dxa"/>
            <w:vMerge w:val="restart"/>
            <w:tcBorders>
              <w:right w:val="single" w:sz="4" w:space="0" w:color="auto"/>
            </w:tcBorders>
          </w:tcPr>
          <w:p>
            <w:pPr>
              <w:pStyle w:val="style0"/>
              <w:spacing w:after="0" w:lineRule="auto" w:line="240"/>
              <w:jc w:val="both"/>
              <w:rPr>
                <w:rFonts w:ascii="Times New Roman" w:cs="Times New Roman" w:hAnsi="Times New Roman"/>
                <w:b/>
                <w:sz w:val="22"/>
                <w:szCs w:val="22"/>
                <w:lang w:val="en-US"/>
              </w:rPr>
            </w:pPr>
            <w:r>
              <w:rPr>
                <w:rFonts w:ascii="Times New Roman" w:cs="Times New Roman" w:hAnsi="Times New Roman"/>
                <w:b/>
                <w:sz w:val="22"/>
                <w:szCs w:val="22"/>
                <w:lang w:val="en-US"/>
              </w:rPr>
              <w:t>Gestational age (months)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First (1 – 3)</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32 (19.4%)</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Second (4 – 6)</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66 (40.0%)</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Third (7 – 9)</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67 (40.6%)</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Level of income</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&lt;10,000</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51 (30.9%)</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10,000 – 30,000</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79 (47.9%)</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31,000 – 50,000</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25 (15.2%)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51,000 and above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 (6.1%)</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b/>
                <w:color w:val="000000"/>
                <w:sz w:val="22"/>
                <w:szCs w:val="22"/>
                <w:lang w:val="en-US"/>
              </w:rPr>
              <w:t>Educational level</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Primary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 (3.0%)</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Secondary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87 (52.7%)</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Tertiary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77 (44.2%)</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Occupation</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Trading</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59 (35.8%)</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Teaching</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27 (16.4%)</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Civil Servant</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19 (11.5%)</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Self </w:t>
            </w:r>
            <w:r>
              <w:rPr>
                <w:rFonts w:ascii="Times New Roman" w:cs="Times New Roman" w:hAnsi="Times New Roman"/>
                <w:color w:val="000000"/>
                <w:sz w:val="22"/>
                <w:szCs w:val="22"/>
                <w:lang w:val="en-US"/>
              </w:rPr>
              <w:t>– Employed</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42 (25.5%)</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Unemployed</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18 (10.9%)</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Hospital/health centre name</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State Specialist Hospital </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95 (57.6%)</w:t>
            </w:r>
          </w:p>
        </w:tc>
      </w:tr>
      <w:tr>
        <w:tblPrEx/>
        <w:trPr/>
        <w:tc>
          <w:tcPr>
            <w:tcW w:w="3168" w:type="dxa"/>
            <w:vMerge w:val="continue"/>
            <w:tcBorders>
              <w:right w:val="single" w:sz="4" w:space="0" w:color="auto"/>
            </w:tcBorders>
          </w:tcPr>
          <w:p>
            <w:pPr>
              <w:pStyle w:val="style0"/>
              <w:spacing w:after="0" w:lineRule="auto" w:line="240"/>
              <w:jc w:val="both"/>
              <w:rPr>
                <w:rFonts w:ascii="Times New Roman" w:cs="Times New Roman" w:hAnsi="Times New Roman"/>
                <w:color w:val="000000"/>
                <w:sz w:val="22"/>
                <w:szCs w:val="22"/>
                <w:lang w:val="en-US"/>
              </w:rPr>
            </w:pPr>
          </w:p>
        </w:tc>
        <w:tc>
          <w:tcPr>
            <w:tcW w:w="3312" w:type="dxa"/>
            <w:tcBorders>
              <w:top w:val="single" w:sz="4" w:space="0" w:color="auto"/>
              <w:left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Comprehensive Health Centre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70 (42.4%)</w:t>
            </w:r>
          </w:p>
        </w:tc>
      </w:tr>
    </w:tbl>
    <w:p>
      <w:pPr>
        <w:pStyle w:val="style0"/>
        <w:spacing w:after="0" w:lineRule="auto" w:line="240"/>
        <w:jc w:val="both"/>
        <w:rPr>
          <w:rFonts w:ascii="Times New Roman" w:cs="Times New Roman" w:hAnsi="Times New Roman"/>
          <w:b/>
          <w:color w:val="000000"/>
          <w:sz w:val="22"/>
          <w:szCs w:val="22"/>
        </w:rPr>
      </w:pPr>
    </w:p>
    <w:p>
      <w:pPr>
        <w:pStyle w:val="style0"/>
        <w:spacing w:after="0" w:lineRule="auto" w:line="360"/>
        <w:jc w:val="both"/>
        <w:rPr>
          <w:rFonts w:ascii="Times New Roman" w:cs="Times New Roman" w:hAnsi="Times New Roman"/>
          <w:b/>
          <w:color w:val="000000"/>
          <w:sz w:val="22"/>
          <w:szCs w:val="22"/>
        </w:rPr>
      </w:pPr>
    </w:p>
    <w:p>
      <w:pPr>
        <w:pStyle w:val="style0"/>
        <w:spacing w:after="0" w:lineRule="auto" w:line="360"/>
        <w:jc w:val="both"/>
        <w:rPr>
          <w:rFonts w:ascii="Times New Roman" w:cs="Times New Roman" w:hAnsi="Times New Roman"/>
          <w:b/>
          <w:color w:val="000000"/>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rPr>
      </w:pPr>
      <w:r>
        <w:rPr>
          <w:rFonts w:ascii="Times New Roman" w:cs="Times New Roman" w:hAnsi="Times New Roman"/>
          <w:b/>
          <w:sz w:val="22"/>
          <w:szCs w:val="22"/>
        </w:rPr>
        <w:t xml:space="preserve">Table 2: </w:t>
      </w: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sz w:val="22"/>
          <w:szCs w:val="22"/>
        </w:rPr>
        <w:t>Knowledge of Malaria in</w:t>
      </w:r>
      <w:r>
        <w:rPr>
          <w:rFonts w:ascii="Times New Roman" w:cs="Times New Roman" w:hAnsi="Times New Roman"/>
          <w:b/>
          <w:sz w:val="22"/>
          <w:szCs w:val="22"/>
        </w:rPr>
        <w:t xml:space="preserve"> Pregnancy</w:t>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color w:val="000000"/>
          <w:sz w:val="22"/>
          <w:szCs w:val="22"/>
        </w:rPr>
        <w:t>(n=165)</w:t>
      </w:r>
    </w:p>
    <w:tbl>
      <w:tblPr>
        <w:tblStyle w:val="style154"/>
        <w:tblW w:w="9738" w:type="dxa"/>
        <w:tblLayout w:type="fixed"/>
        <w:tblLook w:val="04A0" w:firstRow="1" w:lastRow="0" w:firstColumn="1" w:lastColumn="0" w:noHBand="0" w:noVBand="1"/>
      </w:tblPr>
      <w:tblGrid>
        <w:gridCol w:w="2988"/>
        <w:gridCol w:w="1530"/>
        <w:gridCol w:w="1350"/>
        <w:gridCol w:w="990"/>
        <w:gridCol w:w="1350"/>
        <w:gridCol w:w="1530"/>
      </w:tblGrid>
      <w:tr>
        <w:trPr>
          <w:trHeight w:val="538" w:hRule="atLeast"/>
        </w:trPr>
        <w:tc>
          <w:tcPr>
            <w:tcW w:w="2988"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Variables</w:t>
            </w:r>
          </w:p>
        </w:tc>
        <w:tc>
          <w:tcPr>
            <w:tcW w:w="2880" w:type="dxa"/>
            <w:gridSpan w:val="2"/>
            <w:tcBorders>
              <w:bottom w:val="single" w:sz="4" w:space="0" w:color="auto"/>
            </w:tcBorders>
          </w:tcPr>
          <w:p>
            <w:pPr>
              <w:pStyle w:val="style0"/>
              <w:spacing w:after="0" w:lineRule="auto" w:line="240"/>
              <w:jc w:val="both"/>
              <w:rPr>
                <w:rFonts w:ascii="Times New Roman" w:cs="Times New Roman" w:hAnsi="Times New Roman"/>
                <w:sz w:val="22"/>
                <w:szCs w:val="24"/>
                <w:lang w:val="en-US"/>
              </w:rPr>
            </w:pPr>
            <w:r>
              <w:rPr>
                <w:rFonts w:ascii="Times New Roman" w:cs="Times New Roman" w:hAnsi="Times New Roman"/>
                <w:sz w:val="22"/>
                <w:szCs w:val="24"/>
                <w:lang w:val="en-US"/>
              </w:rPr>
              <w:t>Have you ever heard about malaria in pregnancy</w:t>
            </w:r>
          </w:p>
        </w:tc>
        <w:tc>
          <w:tcPr>
            <w:tcW w:w="990"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X</w:t>
            </w:r>
            <w:r>
              <w:rPr>
                <w:rFonts w:ascii="Times New Roman" w:cs="Times New Roman" w:hAnsi="Times New Roman"/>
                <w:b/>
                <w:sz w:val="22"/>
                <w:szCs w:val="24"/>
                <w:vertAlign w:val="superscript"/>
                <w:lang w:val="en-US"/>
              </w:rPr>
              <w:t>2</w:t>
            </w:r>
          </w:p>
        </w:tc>
        <w:tc>
          <w:tcPr>
            <w:tcW w:w="1350"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P-value</w:t>
            </w:r>
          </w:p>
        </w:tc>
        <w:tc>
          <w:tcPr>
            <w:tcW w:w="1530"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Remarks</w:t>
            </w:r>
          </w:p>
        </w:tc>
      </w:tr>
      <w:tr>
        <w:tblPrEx/>
        <w:trPr>
          <w:trHeight w:val="278" w:hRule="atLeast"/>
        </w:trPr>
        <w:tc>
          <w:tcPr>
            <w:tcW w:w="2988" w:type="dxa"/>
            <w:vMerge w:val="continue"/>
            <w:tcBorders/>
          </w:tcPr>
          <w:p>
            <w:pPr>
              <w:pStyle w:val="style0"/>
              <w:spacing w:after="0" w:lineRule="auto" w:line="240"/>
              <w:rPr>
                <w:rFonts w:ascii="Times New Roman" w:cs="Times New Roman" w:hAnsi="Times New Roman"/>
                <w:sz w:val="22"/>
                <w:szCs w:val="24"/>
                <w:lang w:val="en-US"/>
              </w:rPr>
            </w:pPr>
          </w:p>
        </w:tc>
        <w:tc>
          <w:tcPr>
            <w:tcW w:w="1530" w:type="dxa"/>
            <w:tcBorders>
              <w:top w:val="single" w:sz="4" w:space="0" w:color="auto"/>
              <w:right w:val="single" w:sz="4" w:space="0" w:color="auto"/>
            </w:tcBorders>
          </w:tcPr>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Good (%)</w:t>
            </w:r>
          </w:p>
        </w:tc>
        <w:tc>
          <w:tcPr>
            <w:tcW w:w="1350" w:type="dxa"/>
            <w:tcBorders>
              <w:top w:val="single" w:sz="4" w:space="0" w:color="auto"/>
              <w:left w:val="single" w:sz="4" w:space="0" w:color="auto"/>
            </w:tcBorders>
          </w:tcPr>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Poor (%)</w:t>
            </w:r>
          </w:p>
        </w:tc>
        <w:tc>
          <w:tcPr>
            <w:tcW w:w="990" w:type="dxa"/>
            <w:vMerge w:val="continue"/>
            <w:tcBorders/>
          </w:tcPr>
          <w:p>
            <w:pPr>
              <w:pStyle w:val="style0"/>
              <w:spacing w:after="0" w:lineRule="auto" w:line="240"/>
              <w:rPr>
                <w:rFonts w:ascii="Times New Roman" w:cs="Times New Roman" w:hAnsi="Times New Roman"/>
                <w:sz w:val="22"/>
                <w:szCs w:val="24"/>
                <w:lang w:val="en-US"/>
              </w:rPr>
            </w:pPr>
          </w:p>
        </w:tc>
        <w:tc>
          <w:tcPr>
            <w:tcW w:w="1350" w:type="dxa"/>
            <w:vMerge w:val="continue"/>
            <w:tcBorders/>
          </w:tcPr>
          <w:p>
            <w:pPr>
              <w:pStyle w:val="style0"/>
              <w:spacing w:after="0" w:lineRule="auto" w:line="240"/>
              <w:rPr>
                <w:rFonts w:ascii="Times New Roman" w:cs="Times New Roman" w:hAnsi="Times New Roman"/>
                <w:sz w:val="22"/>
                <w:szCs w:val="24"/>
                <w:lang w:val="en-US"/>
              </w:rPr>
            </w:pPr>
          </w:p>
        </w:tc>
        <w:tc>
          <w:tcPr>
            <w:tcW w:w="1530" w:type="dxa"/>
            <w:vMerge w:val="continue"/>
            <w:tcBorders/>
          </w:tcPr>
          <w:p>
            <w:pPr>
              <w:pStyle w:val="style0"/>
              <w:spacing w:after="0" w:lineRule="auto" w:line="240"/>
              <w:rPr>
                <w:rFonts w:ascii="Times New Roman" w:cs="Times New Roman" w:hAnsi="Times New Roman"/>
                <w:sz w:val="22"/>
                <w:szCs w:val="24"/>
                <w:lang w:val="en-US"/>
              </w:rPr>
            </w:pPr>
          </w:p>
        </w:tc>
      </w:tr>
      <w:tr>
        <w:tblPrEx/>
        <w:trPr>
          <w:trHeight w:val="1007"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Age groups ( in years)</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16 – 25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26 – 35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36 – 45</w:t>
            </w:r>
          </w:p>
        </w:tc>
        <w:tc>
          <w:tcPr>
            <w:tcW w:w="1530" w:type="dxa"/>
            <w:tcBorders>
              <w:right w:val="single" w:sz="4" w:space="0" w:color="auto"/>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38 (24.20%)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106 (64.24%)</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13 (7.88%)</w:t>
            </w:r>
          </w:p>
        </w:tc>
        <w:tc>
          <w:tcPr>
            <w:tcW w:w="1350" w:type="dxa"/>
            <w:tcBorders>
              <w:left w:val="single" w:sz="4" w:space="0" w:color="auto"/>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 (37.50%)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 (37.50%)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2 (25.00%)</w:t>
            </w:r>
          </w:p>
        </w:tc>
        <w:tc>
          <w:tcPr>
            <w:tcW w:w="99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sz w:val="22"/>
                <w:szCs w:val="24"/>
                <w:lang w:val="en-US"/>
              </w:rPr>
              <w:t>21.461</w:t>
            </w:r>
          </w:p>
        </w:tc>
        <w:tc>
          <w:tcPr>
            <w:tcW w:w="135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0.001</w:t>
            </w:r>
          </w:p>
        </w:tc>
        <w:tc>
          <w:tcPr>
            <w:tcW w:w="153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SS</w:t>
            </w:r>
          </w:p>
        </w:tc>
      </w:tr>
      <w:tr>
        <w:tblPrEx/>
        <w:trPr>
          <w:trHeight w:val="287"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Total</w:t>
            </w:r>
          </w:p>
        </w:tc>
        <w:tc>
          <w:tcPr>
            <w:tcW w:w="1530" w:type="dxa"/>
            <w:tcBorders>
              <w:right w:val="single" w:sz="4" w:space="0" w:color="auto"/>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157 (100%)</w:t>
            </w:r>
          </w:p>
        </w:tc>
        <w:tc>
          <w:tcPr>
            <w:tcW w:w="1350" w:type="dxa"/>
            <w:tcBorders>
              <w:left w:val="single" w:sz="4" w:space="0" w:color="auto"/>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8 (100%)</w:t>
            </w:r>
          </w:p>
        </w:tc>
        <w:tc>
          <w:tcPr>
            <w:tcW w:w="990" w:type="dxa"/>
            <w:tcBorders/>
          </w:tcPr>
          <w:p>
            <w:pPr>
              <w:pStyle w:val="style0"/>
              <w:spacing w:after="0" w:lineRule="auto" w:line="240"/>
              <w:jc w:val="center"/>
              <w:rPr>
                <w:rFonts w:ascii="Times New Roman" w:cs="Times New Roman" w:hAnsi="Times New Roman"/>
                <w:sz w:val="22"/>
                <w:szCs w:val="24"/>
                <w:lang w:val="en-US"/>
              </w:rPr>
            </w:pPr>
          </w:p>
        </w:tc>
        <w:tc>
          <w:tcPr>
            <w:tcW w:w="1350" w:type="dxa"/>
            <w:tcBorders/>
          </w:tcPr>
          <w:p>
            <w:pPr>
              <w:pStyle w:val="style0"/>
              <w:spacing w:after="0" w:lineRule="auto" w:line="240"/>
              <w:jc w:val="center"/>
              <w:rPr>
                <w:rFonts w:ascii="Times New Roman" w:cs="Times New Roman" w:hAnsi="Times New Roman"/>
                <w:sz w:val="22"/>
                <w:szCs w:val="24"/>
                <w:lang w:val="en-US"/>
              </w:rPr>
            </w:pPr>
          </w:p>
        </w:tc>
        <w:tc>
          <w:tcPr>
            <w:tcW w:w="1530" w:type="dxa"/>
            <w:tcBorders/>
          </w:tcPr>
          <w:p>
            <w:pPr>
              <w:pStyle w:val="style0"/>
              <w:spacing w:after="0" w:lineRule="auto" w:line="240"/>
              <w:jc w:val="center"/>
              <w:rPr>
                <w:rFonts w:ascii="Times New Roman" w:cs="Times New Roman" w:hAnsi="Times New Roman"/>
                <w:sz w:val="22"/>
                <w:szCs w:val="24"/>
                <w:lang w:val="en-US"/>
              </w:rPr>
            </w:pPr>
          </w:p>
        </w:tc>
      </w:tr>
      <w:tr>
        <w:tblPrEx/>
        <w:trPr>
          <w:trHeight w:val="1052"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Level of education</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Primary</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Secondary</w:t>
            </w:r>
          </w:p>
          <w:p>
            <w:pPr>
              <w:pStyle w:val="style0"/>
              <w:spacing w:after="0" w:lineRule="auto" w:line="240"/>
              <w:rPr>
                <w:rFonts w:ascii="Times New Roman" w:cs="Times New Roman" w:hAnsi="Times New Roman"/>
                <w:b/>
                <w:sz w:val="22"/>
                <w:szCs w:val="24"/>
                <w:lang w:val="en-US"/>
              </w:rPr>
            </w:pPr>
            <w:r>
              <w:rPr>
                <w:rFonts w:ascii="Times New Roman" w:cs="Times New Roman" w:hAnsi="Times New Roman"/>
                <w:sz w:val="22"/>
                <w:szCs w:val="24"/>
                <w:lang w:val="en-US"/>
              </w:rPr>
              <w:t xml:space="preserve">Tertiary </w:t>
            </w:r>
          </w:p>
        </w:tc>
        <w:tc>
          <w:tcPr>
            <w:tcW w:w="1530" w:type="dxa"/>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4 (2.55%)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81 (51.59%)</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72 (45.86%)</w:t>
            </w:r>
          </w:p>
        </w:tc>
        <w:tc>
          <w:tcPr>
            <w:tcW w:w="1350" w:type="dxa"/>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 (12.50%)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6 (75.00%)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 (12.50%)</w:t>
            </w:r>
          </w:p>
        </w:tc>
        <w:tc>
          <w:tcPr>
            <w:tcW w:w="99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sz w:val="22"/>
                <w:szCs w:val="24"/>
                <w:lang w:val="en-US"/>
              </w:rPr>
              <w:t>22.535</w:t>
            </w:r>
          </w:p>
        </w:tc>
        <w:tc>
          <w:tcPr>
            <w:tcW w:w="1350" w:type="dxa"/>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b/>
                <w:sz w:val="22"/>
                <w:szCs w:val="24"/>
                <w:lang w:val="en-US"/>
              </w:rPr>
              <w:t>0.000</w:t>
            </w:r>
          </w:p>
        </w:tc>
        <w:tc>
          <w:tcPr>
            <w:tcW w:w="153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b/>
                <w:sz w:val="22"/>
                <w:szCs w:val="24"/>
                <w:lang w:val="en-US"/>
              </w:rPr>
              <w:t>SS</w:t>
            </w:r>
          </w:p>
        </w:tc>
      </w:tr>
      <w:tr>
        <w:tblPrEx/>
        <w:trPr>
          <w:trHeight w:val="90"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Total</w:t>
            </w:r>
          </w:p>
        </w:tc>
        <w:tc>
          <w:tcPr>
            <w:tcW w:w="153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157 (100%)</w:t>
            </w:r>
          </w:p>
        </w:tc>
        <w:tc>
          <w:tcPr>
            <w:tcW w:w="135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8 (100%)</w:t>
            </w:r>
          </w:p>
        </w:tc>
        <w:tc>
          <w:tcPr>
            <w:tcW w:w="990" w:type="dxa"/>
            <w:tcBorders/>
          </w:tcPr>
          <w:p>
            <w:pPr>
              <w:pStyle w:val="style0"/>
              <w:spacing w:after="0" w:lineRule="auto" w:line="240"/>
              <w:jc w:val="center"/>
              <w:rPr>
                <w:rFonts w:ascii="Times New Roman" w:cs="Times New Roman" w:hAnsi="Times New Roman"/>
                <w:sz w:val="22"/>
                <w:szCs w:val="22"/>
                <w:lang w:val="en-US"/>
              </w:rPr>
            </w:pPr>
          </w:p>
        </w:tc>
        <w:tc>
          <w:tcPr>
            <w:tcW w:w="1350" w:type="dxa"/>
            <w:tcBorders/>
          </w:tcPr>
          <w:p>
            <w:pPr>
              <w:pStyle w:val="style0"/>
              <w:spacing w:after="0" w:lineRule="auto" w:line="240"/>
              <w:jc w:val="center"/>
              <w:rPr>
                <w:rFonts w:ascii="Times New Roman" w:cs="Times New Roman" w:hAnsi="Times New Roman"/>
                <w:sz w:val="22"/>
                <w:szCs w:val="22"/>
                <w:lang w:val="en-US"/>
              </w:rPr>
            </w:pPr>
          </w:p>
        </w:tc>
        <w:tc>
          <w:tcPr>
            <w:tcW w:w="1530" w:type="dxa"/>
            <w:tcBorders/>
          </w:tcPr>
          <w:p>
            <w:pPr>
              <w:pStyle w:val="style0"/>
              <w:spacing w:after="0" w:lineRule="auto" w:line="240"/>
              <w:jc w:val="center"/>
              <w:rPr>
                <w:rFonts w:ascii="Times New Roman" w:cs="Times New Roman" w:hAnsi="Times New Roman"/>
                <w:sz w:val="22"/>
                <w:szCs w:val="22"/>
                <w:lang w:val="en-US"/>
              </w:rPr>
            </w:pPr>
          </w:p>
        </w:tc>
      </w:tr>
    </w:tbl>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xml:space="preserve">* SS: Statistically Significant, </w:t>
      </w:r>
      <w:r>
        <w:rPr>
          <w:rFonts w:ascii="Times New Roman" w:cs="Times New Roman" w:hAnsi="Times New Roman"/>
          <w:b/>
          <w:sz w:val="22"/>
          <w:szCs w:val="22"/>
        </w:rPr>
        <w:t>NSS: Not Statistically Significant</w:t>
      </w: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Significant relationship at value less than 0.005</w:t>
      </w:r>
    </w:p>
    <w:p>
      <w:pPr>
        <w:pStyle w:val="style0"/>
        <w:spacing w:before="240"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xml:space="preserve">Table 3: </w:t>
      </w: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Attitudes towards Malaria in Pregnancy</w:t>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 xml:space="preserve"> (n=165)</w:t>
      </w:r>
    </w:p>
    <w:tbl>
      <w:tblPr>
        <w:tblStyle w:val="style154"/>
        <w:tblW w:w="9738" w:type="dxa"/>
        <w:tblLayout w:type="fixed"/>
        <w:tblLook w:val="04A0" w:firstRow="1" w:lastRow="0" w:firstColumn="1" w:lastColumn="0" w:noHBand="0" w:noVBand="1"/>
      </w:tblPr>
      <w:tblGrid>
        <w:gridCol w:w="2988"/>
        <w:gridCol w:w="1440"/>
        <w:gridCol w:w="1440"/>
        <w:gridCol w:w="990"/>
        <w:gridCol w:w="1350"/>
        <w:gridCol w:w="1530"/>
      </w:tblGrid>
      <w:tr>
        <w:trPr>
          <w:trHeight w:val="737" w:hRule="atLeast"/>
        </w:trPr>
        <w:tc>
          <w:tcPr>
            <w:tcW w:w="2988"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Variables</w:t>
            </w:r>
          </w:p>
        </w:tc>
        <w:tc>
          <w:tcPr>
            <w:tcW w:w="2880" w:type="dxa"/>
            <w:gridSpan w:val="2"/>
            <w:tcBorders>
              <w:bottom w:val="single" w:sz="4" w:space="0" w:color="auto"/>
            </w:tcBorders>
          </w:tcPr>
          <w:p>
            <w:pPr>
              <w:pStyle w:val="style0"/>
              <w:spacing w:after="0" w:lineRule="auto" w:line="240"/>
              <w:jc w:val="both"/>
              <w:rPr>
                <w:rFonts w:ascii="Times New Roman" w:cs="Times New Roman" w:hAnsi="Times New Roman"/>
                <w:sz w:val="22"/>
                <w:szCs w:val="22"/>
                <w:lang w:val="en-US"/>
              </w:rPr>
            </w:pPr>
            <w:r>
              <w:rPr>
                <w:rFonts w:ascii="Times New Roman" w:cs="Times New Roman" w:hAnsi="Times New Roman"/>
                <w:sz w:val="22"/>
                <w:szCs w:val="22"/>
                <w:lang w:val="en-US"/>
              </w:rPr>
              <w:t>To prevent myself from get</w:t>
            </w:r>
            <w:r>
              <w:rPr>
                <w:rFonts w:ascii="Times New Roman" w:cs="Times New Roman" w:hAnsi="Times New Roman"/>
                <w:sz w:val="22"/>
                <w:szCs w:val="22"/>
                <w:lang w:val="en-US"/>
              </w:rPr>
              <w:t>ting malaria is to avoid getting mosquito bites</w:t>
            </w:r>
          </w:p>
        </w:tc>
        <w:tc>
          <w:tcPr>
            <w:tcW w:w="99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X</w:t>
            </w:r>
            <w:r>
              <w:rPr>
                <w:rFonts w:ascii="Times New Roman" w:cs="Times New Roman" w:hAnsi="Times New Roman"/>
                <w:b/>
                <w:sz w:val="22"/>
                <w:szCs w:val="22"/>
                <w:vertAlign w:val="superscript"/>
                <w:lang w:val="en-US"/>
              </w:rPr>
              <w:t>2</w:t>
            </w:r>
          </w:p>
        </w:tc>
        <w:tc>
          <w:tcPr>
            <w:tcW w:w="135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P-value</w:t>
            </w:r>
          </w:p>
        </w:tc>
        <w:tc>
          <w:tcPr>
            <w:tcW w:w="153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Remarks</w:t>
            </w:r>
          </w:p>
        </w:tc>
      </w:tr>
      <w:tr>
        <w:tblPrEx/>
        <w:trPr>
          <w:trHeight w:val="422" w:hRule="atLeast"/>
        </w:trPr>
        <w:tc>
          <w:tcPr>
            <w:tcW w:w="2988" w:type="dxa"/>
            <w:vMerge w:val="continue"/>
            <w:tcBorders/>
          </w:tcPr>
          <w:p>
            <w:pPr>
              <w:pStyle w:val="style0"/>
              <w:spacing w:after="0" w:lineRule="auto" w:line="240"/>
              <w:jc w:val="both"/>
              <w:rPr>
                <w:rFonts w:ascii="Times New Roman" w:cs="Times New Roman" w:hAnsi="Times New Roman"/>
                <w:sz w:val="22"/>
                <w:szCs w:val="22"/>
                <w:lang w:val="en-US"/>
              </w:rPr>
            </w:pPr>
          </w:p>
        </w:tc>
        <w:tc>
          <w:tcPr>
            <w:tcW w:w="1440" w:type="dxa"/>
            <w:tcBorders>
              <w:top w:val="single" w:sz="4" w:space="0" w:color="auto"/>
              <w:righ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Positive</w:t>
            </w: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w:t>
            </w:r>
          </w:p>
        </w:tc>
        <w:tc>
          <w:tcPr>
            <w:tcW w:w="1440" w:type="dxa"/>
            <w:tcBorders>
              <w:top w:val="single" w:sz="4" w:space="0" w:color="auto"/>
              <w:lef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Negative</w:t>
            </w: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w:t>
            </w:r>
          </w:p>
        </w:tc>
        <w:tc>
          <w:tcPr>
            <w:tcW w:w="99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35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530" w:type="dxa"/>
            <w:vMerge w:val="continue"/>
            <w:tcBorders/>
          </w:tcPr>
          <w:p>
            <w:pPr>
              <w:pStyle w:val="style0"/>
              <w:spacing w:after="0" w:lineRule="auto" w:line="240"/>
              <w:jc w:val="center"/>
              <w:rPr>
                <w:rFonts w:ascii="Times New Roman" w:cs="Times New Roman" w:hAnsi="Times New Roman"/>
                <w:sz w:val="22"/>
                <w:szCs w:val="22"/>
                <w:lang w:val="en-US"/>
              </w:rPr>
            </w:pPr>
          </w:p>
        </w:tc>
      </w:tr>
      <w:tr>
        <w:tblPrEx/>
        <w:trPr>
          <w:trHeight w:val="1070"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Age groups ( in years)</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16 – 25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26 – 35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36 – 45</w:t>
            </w:r>
          </w:p>
        </w:tc>
        <w:tc>
          <w:tcPr>
            <w:tcW w:w="1440" w:type="dxa"/>
            <w:tcBorders>
              <w:righ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37 (25.52%)</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98 (67.59%)</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10 (6.89%)</w:t>
            </w:r>
          </w:p>
        </w:tc>
        <w:tc>
          <w:tcPr>
            <w:tcW w:w="1440" w:type="dxa"/>
            <w:tcBorders>
              <w:lef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4 (20.00%)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11 (55.00%)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5 (25.00%)</w:t>
            </w:r>
          </w:p>
        </w:tc>
        <w:tc>
          <w:tcPr>
            <w:tcW w:w="99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r>
              <w:rPr>
                <w:rFonts w:ascii="Times New Roman" w:cs="Times New Roman" w:hAnsi="Times New Roman"/>
                <w:sz w:val="22"/>
                <w:szCs w:val="22"/>
                <w:lang w:val="en-US"/>
              </w:rPr>
              <w:t>17.365</w:t>
            </w:r>
          </w:p>
        </w:tc>
        <w:tc>
          <w:tcPr>
            <w:tcW w:w="135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0.004</w:t>
            </w:r>
          </w:p>
        </w:tc>
        <w:tc>
          <w:tcPr>
            <w:tcW w:w="153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SS</w:t>
            </w:r>
          </w:p>
        </w:tc>
      </w:tr>
      <w:tr>
        <w:tblPrEx/>
        <w:trPr>
          <w:trHeight w:val="260"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Total</w:t>
            </w:r>
          </w:p>
        </w:tc>
        <w:tc>
          <w:tcPr>
            <w:tcW w:w="1440" w:type="dxa"/>
            <w:tcBorders>
              <w:righ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 xml:space="preserve">145 </w:t>
            </w:r>
            <w:r>
              <w:rPr>
                <w:rFonts w:ascii="Times New Roman" w:cs="Times New Roman" w:hAnsi="Times New Roman"/>
                <w:b/>
                <w:sz w:val="22"/>
                <w:szCs w:val="22"/>
                <w:lang w:val="en-US"/>
              </w:rPr>
              <w:t>(100%)</w:t>
            </w:r>
          </w:p>
        </w:tc>
        <w:tc>
          <w:tcPr>
            <w:tcW w:w="1440" w:type="dxa"/>
            <w:tcBorders>
              <w:lef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20 (100%)</w:t>
            </w:r>
          </w:p>
        </w:tc>
        <w:tc>
          <w:tcPr>
            <w:tcW w:w="990" w:type="dxa"/>
            <w:tcBorders/>
          </w:tcPr>
          <w:p>
            <w:pPr>
              <w:pStyle w:val="style0"/>
              <w:spacing w:after="0" w:lineRule="auto" w:line="240"/>
              <w:jc w:val="center"/>
              <w:rPr>
                <w:rFonts w:ascii="Times New Roman" w:cs="Times New Roman" w:hAnsi="Times New Roman"/>
                <w:sz w:val="22"/>
                <w:szCs w:val="22"/>
                <w:lang w:val="en-US"/>
              </w:rPr>
            </w:pPr>
          </w:p>
        </w:tc>
        <w:tc>
          <w:tcPr>
            <w:tcW w:w="1350" w:type="dxa"/>
            <w:tcBorders/>
          </w:tcPr>
          <w:p>
            <w:pPr>
              <w:pStyle w:val="style0"/>
              <w:spacing w:after="0" w:lineRule="auto" w:line="240"/>
              <w:jc w:val="center"/>
              <w:rPr>
                <w:rFonts w:ascii="Times New Roman" w:cs="Times New Roman" w:hAnsi="Times New Roman"/>
                <w:sz w:val="22"/>
                <w:szCs w:val="22"/>
                <w:lang w:val="en-US"/>
              </w:rPr>
            </w:pPr>
          </w:p>
        </w:tc>
        <w:tc>
          <w:tcPr>
            <w:tcW w:w="1530" w:type="dxa"/>
            <w:tcBorders/>
          </w:tcPr>
          <w:p>
            <w:pPr>
              <w:pStyle w:val="style0"/>
              <w:spacing w:after="0" w:lineRule="auto" w:line="240"/>
              <w:jc w:val="center"/>
              <w:rPr>
                <w:rFonts w:ascii="Times New Roman" w:cs="Times New Roman" w:hAnsi="Times New Roman"/>
                <w:sz w:val="22"/>
                <w:szCs w:val="22"/>
                <w:lang w:val="en-US"/>
              </w:rPr>
            </w:pPr>
          </w:p>
        </w:tc>
      </w:tr>
    </w:tbl>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SS: Statistically Significant, NSS: Not Statistically Significant</w:t>
      </w: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Significant relationship at value less than 0.005</w:t>
      </w:r>
    </w:p>
    <w:p>
      <w:pPr>
        <w:pStyle w:val="style0"/>
        <w:spacing w:before="240"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xml:space="preserve">Table 4: </w:t>
      </w: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sz w:val="22"/>
          <w:szCs w:val="22"/>
        </w:rPr>
        <w:t>Perceptions of Malaria in Pregnancy</w:t>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(n=165)</w:t>
      </w:r>
    </w:p>
    <w:tbl>
      <w:tblPr>
        <w:tblStyle w:val="style154"/>
        <w:tblW w:w="9738" w:type="dxa"/>
        <w:tblLayout w:type="fixed"/>
        <w:tblLook w:val="04A0" w:firstRow="1" w:lastRow="0" w:firstColumn="1" w:lastColumn="0" w:noHBand="0" w:noVBand="1"/>
      </w:tblPr>
      <w:tblGrid>
        <w:gridCol w:w="2988"/>
        <w:gridCol w:w="1440"/>
        <w:gridCol w:w="1440"/>
        <w:gridCol w:w="990"/>
        <w:gridCol w:w="1350"/>
        <w:gridCol w:w="1530"/>
      </w:tblGrid>
      <w:tr>
        <w:trPr>
          <w:trHeight w:val="538" w:hRule="atLeast"/>
        </w:trPr>
        <w:tc>
          <w:tcPr>
            <w:tcW w:w="2988" w:type="dxa"/>
            <w:vMerge w:val="restart"/>
            <w:tcBorders/>
          </w:tcPr>
          <w:p>
            <w:pPr>
              <w:pStyle w:val="style0"/>
              <w:spacing w:after="0" w:lineRule="auto" w:line="240"/>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Variables</w:t>
            </w:r>
          </w:p>
        </w:tc>
        <w:tc>
          <w:tcPr>
            <w:tcW w:w="2880" w:type="dxa"/>
            <w:gridSpan w:val="2"/>
            <w:tcBorders>
              <w:bottom w:val="single" w:sz="4" w:space="0" w:color="auto"/>
            </w:tcBorders>
          </w:tcPr>
          <w:p>
            <w:pPr>
              <w:pStyle w:val="style0"/>
              <w:spacing w:after="0" w:lineRule="auto" w:line="240"/>
              <w:jc w:val="both"/>
              <w:rPr>
                <w:rFonts w:ascii="Times New Roman" w:cs="Times New Roman" w:hAnsi="Times New Roman"/>
                <w:sz w:val="22"/>
                <w:szCs w:val="22"/>
                <w:lang w:val="en-US"/>
              </w:rPr>
            </w:pPr>
            <w:r>
              <w:rPr>
                <w:rFonts w:ascii="Times New Roman" w:cs="Times New Roman" w:hAnsi="Times New Roman"/>
                <w:sz w:val="22"/>
                <w:szCs w:val="22"/>
                <w:lang w:val="en-US"/>
              </w:rPr>
              <w:t>Use of herbs (agbo) can prevent malaria during pregnancy</w:t>
            </w:r>
          </w:p>
        </w:tc>
        <w:tc>
          <w:tcPr>
            <w:tcW w:w="99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X</w:t>
            </w:r>
            <w:r>
              <w:rPr>
                <w:rFonts w:ascii="Times New Roman" w:cs="Times New Roman" w:hAnsi="Times New Roman"/>
                <w:b/>
                <w:sz w:val="22"/>
                <w:szCs w:val="22"/>
                <w:vertAlign w:val="superscript"/>
                <w:lang w:val="en-US"/>
              </w:rPr>
              <w:t>2</w:t>
            </w:r>
          </w:p>
        </w:tc>
        <w:tc>
          <w:tcPr>
            <w:tcW w:w="135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P-value</w:t>
            </w:r>
          </w:p>
        </w:tc>
        <w:tc>
          <w:tcPr>
            <w:tcW w:w="153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Remarks</w:t>
            </w:r>
          </w:p>
        </w:tc>
      </w:tr>
      <w:tr>
        <w:tblPrEx/>
        <w:trPr>
          <w:trHeight w:val="287" w:hRule="atLeast"/>
        </w:trPr>
        <w:tc>
          <w:tcPr>
            <w:tcW w:w="2988" w:type="dxa"/>
            <w:vMerge w:val="continue"/>
            <w:tcBorders/>
          </w:tcPr>
          <w:p>
            <w:pPr>
              <w:pStyle w:val="style0"/>
              <w:spacing w:after="0" w:lineRule="auto" w:line="240"/>
              <w:rPr>
                <w:rFonts w:ascii="Times New Roman" w:cs="Times New Roman" w:hAnsi="Times New Roman"/>
                <w:sz w:val="22"/>
                <w:szCs w:val="22"/>
                <w:lang w:val="en-US"/>
              </w:rPr>
            </w:pPr>
          </w:p>
        </w:tc>
        <w:tc>
          <w:tcPr>
            <w:tcW w:w="1440" w:type="dxa"/>
            <w:tcBorders>
              <w:top w:val="single" w:sz="4" w:space="0" w:color="auto"/>
              <w:righ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Good (%)</w:t>
            </w:r>
          </w:p>
        </w:tc>
        <w:tc>
          <w:tcPr>
            <w:tcW w:w="1440" w:type="dxa"/>
            <w:tcBorders>
              <w:top w:val="single" w:sz="4" w:space="0" w:color="auto"/>
              <w:lef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Poor (%)</w:t>
            </w:r>
          </w:p>
        </w:tc>
        <w:tc>
          <w:tcPr>
            <w:tcW w:w="99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35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530" w:type="dxa"/>
            <w:vMerge w:val="continue"/>
            <w:tcBorders/>
          </w:tcPr>
          <w:p>
            <w:pPr>
              <w:pStyle w:val="style0"/>
              <w:spacing w:after="0" w:lineRule="auto" w:line="240"/>
              <w:jc w:val="center"/>
              <w:rPr>
                <w:rFonts w:ascii="Times New Roman" w:cs="Times New Roman" w:hAnsi="Times New Roman"/>
                <w:sz w:val="22"/>
                <w:szCs w:val="22"/>
                <w:lang w:val="en-US"/>
              </w:rPr>
            </w:pPr>
          </w:p>
        </w:tc>
      </w:tr>
      <w:tr>
        <w:tblPrEx/>
        <w:trPr>
          <w:trHeight w:val="1043"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Age groups ( in years)</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16 – 25</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26 – 35</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36 – 45</w:t>
            </w:r>
          </w:p>
        </w:tc>
        <w:tc>
          <w:tcPr>
            <w:tcW w:w="1440" w:type="dxa"/>
            <w:tcBorders>
              <w:righ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30 (26.09%)</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76 (66.09%)</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9 (7.83%)</w:t>
            </w:r>
          </w:p>
        </w:tc>
        <w:tc>
          <w:tcPr>
            <w:tcW w:w="1440" w:type="dxa"/>
            <w:tcBorders>
              <w:lef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11 (22.00%)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33 (66.00%)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6 (12.00%)</w:t>
            </w:r>
          </w:p>
        </w:tc>
        <w:tc>
          <w:tcPr>
            <w:tcW w:w="99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r>
              <w:rPr>
                <w:rFonts w:ascii="Times New Roman" w:cs="Times New Roman" w:hAnsi="Times New Roman"/>
                <w:sz w:val="22"/>
                <w:szCs w:val="22"/>
                <w:lang w:val="en-US"/>
              </w:rPr>
              <w:t>17.526</w:t>
            </w:r>
          </w:p>
        </w:tc>
        <w:tc>
          <w:tcPr>
            <w:tcW w:w="135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0.004</w:t>
            </w:r>
          </w:p>
        </w:tc>
        <w:tc>
          <w:tcPr>
            <w:tcW w:w="153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SS</w:t>
            </w:r>
          </w:p>
          <w:p>
            <w:pPr>
              <w:pStyle w:val="style0"/>
              <w:spacing w:after="0" w:lineRule="auto" w:line="240"/>
              <w:jc w:val="center"/>
              <w:rPr>
                <w:rFonts w:ascii="Times New Roman" w:cs="Times New Roman" w:hAnsi="Times New Roman"/>
                <w:sz w:val="22"/>
                <w:szCs w:val="22"/>
                <w:lang w:val="en-US"/>
              </w:rPr>
            </w:pPr>
          </w:p>
        </w:tc>
      </w:tr>
      <w:tr>
        <w:tblPrEx/>
        <w:trPr>
          <w:trHeight w:val="159"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Total</w:t>
            </w:r>
          </w:p>
        </w:tc>
        <w:tc>
          <w:tcPr>
            <w:tcW w:w="1440" w:type="dxa"/>
            <w:tcBorders>
              <w:righ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115 (100%)</w:t>
            </w:r>
          </w:p>
        </w:tc>
        <w:tc>
          <w:tcPr>
            <w:tcW w:w="1440" w:type="dxa"/>
            <w:tcBorders>
              <w:lef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50 (100%)</w:t>
            </w:r>
          </w:p>
        </w:tc>
        <w:tc>
          <w:tcPr>
            <w:tcW w:w="990" w:type="dxa"/>
            <w:tcBorders/>
          </w:tcPr>
          <w:p>
            <w:pPr>
              <w:pStyle w:val="style0"/>
              <w:spacing w:after="0" w:lineRule="auto" w:line="240"/>
              <w:jc w:val="center"/>
              <w:rPr>
                <w:rFonts w:ascii="Times New Roman" w:cs="Times New Roman" w:hAnsi="Times New Roman"/>
                <w:sz w:val="22"/>
                <w:szCs w:val="22"/>
                <w:lang w:val="en-US"/>
              </w:rPr>
            </w:pPr>
          </w:p>
        </w:tc>
        <w:tc>
          <w:tcPr>
            <w:tcW w:w="1350" w:type="dxa"/>
            <w:tcBorders/>
          </w:tcPr>
          <w:p>
            <w:pPr>
              <w:pStyle w:val="style0"/>
              <w:spacing w:after="0" w:lineRule="auto" w:line="240"/>
              <w:jc w:val="center"/>
              <w:rPr>
                <w:rFonts w:ascii="Times New Roman" w:cs="Times New Roman" w:hAnsi="Times New Roman"/>
                <w:sz w:val="22"/>
                <w:szCs w:val="22"/>
                <w:lang w:val="en-US"/>
              </w:rPr>
            </w:pPr>
          </w:p>
        </w:tc>
        <w:tc>
          <w:tcPr>
            <w:tcW w:w="1530" w:type="dxa"/>
            <w:tcBorders/>
          </w:tcPr>
          <w:p>
            <w:pPr>
              <w:pStyle w:val="style0"/>
              <w:spacing w:after="0" w:lineRule="auto" w:line="240"/>
              <w:jc w:val="center"/>
              <w:rPr>
                <w:rFonts w:ascii="Times New Roman" w:cs="Times New Roman" w:hAnsi="Times New Roman"/>
                <w:sz w:val="22"/>
                <w:szCs w:val="22"/>
                <w:lang w:val="en-US"/>
              </w:rPr>
            </w:pPr>
          </w:p>
        </w:tc>
      </w:tr>
      <w:tr>
        <w:tblPrEx/>
        <w:trPr>
          <w:trHeight w:val="800"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Hospital/health centre name</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State Specialist Hospital</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Comprehensive Health centre</w:t>
            </w:r>
          </w:p>
        </w:tc>
        <w:tc>
          <w:tcPr>
            <w:tcW w:w="1440" w:type="dxa"/>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54 (46.96%)</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61 (53.04%)</w:t>
            </w:r>
          </w:p>
        </w:tc>
        <w:tc>
          <w:tcPr>
            <w:tcW w:w="1440" w:type="dxa"/>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41 (82.00%)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9 (18.00%)</w:t>
            </w:r>
          </w:p>
        </w:tc>
        <w:tc>
          <w:tcPr>
            <w:tcW w:w="99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r>
              <w:rPr>
                <w:rFonts w:ascii="Times New Roman" w:cs="Times New Roman" w:hAnsi="Times New Roman"/>
                <w:sz w:val="22"/>
                <w:szCs w:val="22"/>
                <w:lang w:val="en-US"/>
              </w:rPr>
              <w:t>17.520</w:t>
            </w:r>
          </w:p>
        </w:tc>
        <w:tc>
          <w:tcPr>
            <w:tcW w:w="135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0.000</w:t>
            </w:r>
          </w:p>
        </w:tc>
        <w:tc>
          <w:tcPr>
            <w:tcW w:w="1530" w:type="dxa"/>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SS</w:t>
            </w:r>
          </w:p>
        </w:tc>
      </w:tr>
      <w:tr>
        <w:tblPrEx/>
        <w:trPr>
          <w:trHeight w:val="135"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Total</w:t>
            </w:r>
          </w:p>
        </w:tc>
        <w:tc>
          <w:tcPr>
            <w:tcW w:w="144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115 (100%)</w:t>
            </w:r>
          </w:p>
        </w:tc>
        <w:tc>
          <w:tcPr>
            <w:tcW w:w="144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50 (100%)</w:t>
            </w:r>
          </w:p>
        </w:tc>
        <w:tc>
          <w:tcPr>
            <w:tcW w:w="990" w:type="dxa"/>
            <w:tcBorders/>
          </w:tcPr>
          <w:p>
            <w:pPr>
              <w:pStyle w:val="style0"/>
              <w:spacing w:after="0" w:lineRule="auto" w:line="240"/>
              <w:rPr>
                <w:rFonts w:ascii="Times New Roman" w:cs="Times New Roman" w:hAnsi="Times New Roman"/>
                <w:sz w:val="22"/>
                <w:szCs w:val="22"/>
                <w:lang w:val="en-US"/>
              </w:rPr>
            </w:pPr>
          </w:p>
        </w:tc>
        <w:tc>
          <w:tcPr>
            <w:tcW w:w="1350" w:type="dxa"/>
            <w:tcBorders/>
          </w:tcPr>
          <w:p>
            <w:pPr>
              <w:pStyle w:val="style0"/>
              <w:spacing w:after="0" w:lineRule="auto" w:line="240"/>
              <w:rPr>
                <w:rFonts w:ascii="Times New Roman" w:cs="Times New Roman" w:hAnsi="Times New Roman"/>
                <w:sz w:val="22"/>
                <w:szCs w:val="22"/>
                <w:lang w:val="en-US"/>
              </w:rPr>
            </w:pPr>
          </w:p>
        </w:tc>
        <w:tc>
          <w:tcPr>
            <w:tcW w:w="1530" w:type="dxa"/>
            <w:tcBorders/>
          </w:tcPr>
          <w:p>
            <w:pPr>
              <w:pStyle w:val="style0"/>
              <w:spacing w:after="0" w:lineRule="auto" w:line="240"/>
              <w:rPr>
                <w:rFonts w:ascii="Times New Roman" w:cs="Times New Roman" w:hAnsi="Times New Roman"/>
                <w:b/>
                <w:sz w:val="22"/>
                <w:szCs w:val="22"/>
                <w:lang w:val="en-US"/>
              </w:rPr>
            </w:pPr>
          </w:p>
        </w:tc>
      </w:tr>
    </w:tbl>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SS: Statistically</w:t>
      </w:r>
      <w:r>
        <w:rPr>
          <w:rFonts w:ascii="Times New Roman" w:cs="Times New Roman" w:hAnsi="Times New Roman"/>
          <w:b/>
          <w:sz w:val="22"/>
          <w:szCs w:val="22"/>
        </w:rPr>
        <w:t xml:space="preserve"> Significant, NSS: Not Statistically Significant</w:t>
      </w: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Significant relationship at value less than 0.005</w:t>
      </w:r>
    </w:p>
    <w:p>
      <w:pPr>
        <w:pStyle w:val="style0"/>
        <w:spacing w:after="0" w:lineRule="auto" w:line="240"/>
        <w:jc w:val="both"/>
        <w:rPr>
          <w:rFonts w:ascii="Times New Roman" w:cs="Times New Roman" w:hAnsi="Times New Roman"/>
          <w:b/>
          <w:sz w:val="22"/>
          <w:szCs w:val="22"/>
        </w:rPr>
      </w:pPr>
    </w:p>
    <w:p>
      <w:pPr>
        <w:pStyle w:val="style0"/>
        <w:spacing w:lineRule="auto" w:line="360"/>
        <w:jc w:val="both"/>
        <w:rPr>
          <w:rFonts w:ascii="Times New Roman" w:cs="Times New Roman" w:hAnsi="Times New Roman"/>
          <w:b/>
          <w:sz w:val="22"/>
          <w:szCs w:val="22"/>
        </w:rPr>
        <w:sectPr>
          <w:type w:val="continuous"/>
          <w:pgSz w:w="11907" w:h="16839" w:orient="portrait"/>
          <w:pgMar w:top="1170" w:right="1440" w:bottom="1350" w:left="1440" w:header="720" w:footer="720" w:gutter="0"/>
          <w:cols w:space="720"/>
          <w:titlePg/>
          <w:docGrid w:linePitch="360"/>
        </w:sectPr>
      </w:pPr>
    </w:p>
    <w:p>
      <w:pPr>
        <w:pStyle w:val="style0"/>
        <w:spacing w:lineRule="auto" w:line="360"/>
        <w:jc w:val="both"/>
        <w:rPr>
          <w:rFonts w:ascii="Times New Roman" w:cs="Times New Roman" w:hAnsi="Times New Roman"/>
          <w:b/>
          <w:sz w:val="22"/>
          <w:szCs w:val="22"/>
        </w:rPr>
      </w:pP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DISCUSSION</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Socio – Demographic Characteristics of the Respondents</w:t>
      </w:r>
      <w:r>
        <w:rPr>
          <w:rFonts w:ascii="Times New Roman" w:cs="Times New Roman" w:hAnsi="Times New Roman"/>
          <w:b/>
          <w:color w:val="000000"/>
          <w:sz w:val="22"/>
          <w:szCs w:val="22"/>
        </w:rPr>
        <w:tab/>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color w:val="000000"/>
          <w:sz w:val="22"/>
          <w:szCs w:val="22"/>
        </w:rPr>
        <w:t xml:space="preserve">The respondents’ ages were between 16 – 45 years and their mean age is 28.6 </w:t>
      </w:r>
      <w:r>
        <w:rPr>
          <w:rFonts w:ascii="Times New Roman" w:cs="Times New Roman" w:hAnsi="Times New Roman"/>
          <w:color w:val="000000"/>
          <w:sz w:val="22"/>
          <w:szCs w:val="22"/>
          <w:u w:val="single"/>
        </w:rPr>
        <w:t>+</w:t>
      </w:r>
      <w:r>
        <w:rPr>
          <w:rFonts w:ascii="Times New Roman" w:cs="Times New Roman" w:hAnsi="Times New Roman"/>
          <w:color w:val="000000"/>
          <w:sz w:val="22"/>
          <w:szCs w:val="22"/>
        </w:rPr>
        <w:t xml:space="preserve"> 5.1. 109 (66.1%) were between 26 – 35 years old. All the respondents 165 (100%) were females and married, 157 (95.2%) were Christians, 139 (84.2%) were Yoruba, 3 (1.8%) respectiv</w:t>
      </w:r>
      <w:r>
        <w:rPr>
          <w:rFonts w:ascii="Times New Roman" w:cs="Times New Roman" w:hAnsi="Times New Roman"/>
          <w:color w:val="000000"/>
          <w:sz w:val="22"/>
          <w:szCs w:val="22"/>
        </w:rPr>
        <w:t>ely. 135 (81.8%) have had 1 – 3 numbers of pregnancies/births, 67 (40%) and 66 (40.6%) of the pregnant women are in their second and third trimesters. 79 (47.9%) earned between 10,000 – 30,000 monthly, 87 (52.7%) had secondary school education and 59 (35.8</w:t>
      </w:r>
      <w:r>
        <w:rPr>
          <w:rFonts w:ascii="Times New Roman" w:cs="Times New Roman" w:hAnsi="Times New Roman"/>
          <w:color w:val="000000"/>
          <w:sz w:val="22"/>
          <w:szCs w:val="22"/>
        </w:rPr>
        <w:t>%) are traders and 95 (57.6%) registered at State Specialist Hospital, Okitipupa for their antenatal clinics.</w:t>
      </w:r>
    </w:p>
    <w:p>
      <w:pPr>
        <w:pStyle w:val="style0"/>
        <w:spacing w:lineRule="auto" w:line="360"/>
        <w:jc w:val="both"/>
        <w:rPr>
          <w:rFonts w:ascii="Times New Roman" w:cs="Times New Roman" w:hAnsi="Times New Roman"/>
          <w:b/>
          <w:sz w:val="22"/>
          <w:szCs w:val="22"/>
        </w:rPr>
      </w:pPr>
      <w:r>
        <w:rPr>
          <w:rFonts w:ascii="Times New Roman" w:cs="Times New Roman" w:hAnsi="Times New Roman"/>
          <w:bCs/>
          <w:color w:val="000000"/>
          <w:sz w:val="22"/>
          <w:szCs w:val="22"/>
        </w:rPr>
        <w:t xml:space="preserve">A similar study was conducted in Badagry, Lagos State, Nigeria of which </w:t>
      </w:r>
      <w:r>
        <w:rPr>
          <w:rFonts w:ascii="Times New Roman" w:cs="Times New Roman" w:hAnsi="Times New Roman"/>
          <w:color w:val="000000"/>
          <w:sz w:val="22"/>
          <w:szCs w:val="22"/>
        </w:rPr>
        <w:t xml:space="preserve">the age of the women ranged from 16 to 45 years, with a mean age of 29 </w:t>
      </w:r>
      <w:r>
        <w:rPr>
          <w:rFonts w:ascii="Times New Roman" w:cs="Times New Roman" w:hAnsi="Times New Roman"/>
          <w:color w:val="000000"/>
          <w:sz w:val="22"/>
          <w:szCs w:val="22"/>
          <w:u w:val="single"/>
        </w:rPr>
        <w:t>+</w:t>
      </w:r>
      <w:r>
        <w:rPr>
          <w:rFonts w:ascii="Times New Roman" w:cs="Times New Roman" w:hAnsi="Times New Roman"/>
          <w:color w:val="000000"/>
          <w:sz w:val="22"/>
          <w:szCs w:val="22"/>
        </w:rPr>
        <w:t xml:space="preserve"> 4</w:t>
      </w:r>
      <w:r>
        <w:rPr>
          <w:rFonts w:ascii="Times New Roman" w:cs="Times New Roman" w:hAnsi="Times New Roman"/>
          <w:color w:val="000000"/>
          <w:sz w:val="22"/>
          <w:szCs w:val="22"/>
        </w:rPr>
        <w:t xml:space="preserve">.3 years. The predominant ethnic was Yoruba, 277 (62%). Commonest occupation was traders, 160 (36%). Educationally, 185 (41%) had secondary education, 345 (76%) of the respondents were Christian, most of the women (95.8%) were married. Results showed that </w:t>
      </w:r>
      <w:r>
        <w:rPr>
          <w:rFonts w:ascii="Times New Roman" w:cs="Times New Roman" w:hAnsi="Times New Roman"/>
          <w:color w:val="000000"/>
          <w:sz w:val="22"/>
          <w:szCs w:val="22"/>
        </w:rPr>
        <w:t xml:space="preserve">162 (36%) and 122 (27%) of the women have 1 or 2 children, respectively. At the time of the interview, the ages of their pregnancies ranged between 8 and 38 weeks, with a mean of 28 weeks (Josephine N. et. al, 2016). </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color w:val="000000"/>
          <w:sz w:val="22"/>
          <w:szCs w:val="22"/>
        </w:rPr>
        <w:t>Knowledge of Malaria in Pregnancy</w:t>
      </w:r>
    </w:p>
    <w:p>
      <w:pPr>
        <w:pStyle w:val="style0"/>
        <w:spacing w:lineRule="auto" w:line="360"/>
        <w:jc w:val="both"/>
        <w:rPr>
          <w:rFonts w:ascii="Times New Roman" w:cs="Times New Roman" w:hAnsi="Times New Roman"/>
          <w:b/>
          <w:color w:val="000000"/>
          <w:sz w:val="22"/>
          <w:szCs w:val="22"/>
        </w:rPr>
      </w:pPr>
      <w:r>
        <w:rPr>
          <w:rFonts w:ascii="Times New Roman" w:cs="Times New Roman" w:hAnsi="Times New Roman"/>
          <w:sz w:val="22"/>
          <w:szCs w:val="22"/>
        </w:rPr>
        <w:t xml:space="preserve">The </w:t>
      </w:r>
      <w:r>
        <w:rPr>
          <w:rFonts w:ascii="Times New Roman" w:cs="Times New Roman" w:hAnsi="Times New Roman"/>
          <w:sz w:val="22"/>
          <w:szCs w:val="22"/>
        </w:rPr>
        <w:t>chi – square pointed out that there is a significant relationship between age (p&lt;0.001), level of education (p&lt;0.000) and the knowledge of malaria in pregnancy.</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color w:val="000000"/>
          <w:sz w:val="22"/>
          <w:szCs w:val="22"/>
        </w:rPr>
        <w:t>Attitudes towards Malaria in Pregnancy</w:t>
      </w:r>
    </w:p>
    <w:p>
      <w:pPr>
        <w:pStyle w:val="style0"/>
        <w:spacing w:lineRule="auto" w:line="360"/>
        <w:jc w:val="both"/>
        <w:rPr>
          <w:rFonts w:ascii="Times New Roman" w:cs="Times New Roman" w:hAnsi="Times New Roman"/>
          <w:sz w:val="22"/>
          <w:szCs w:val="22"/>
        </w:rPr>
      </w:pPr>
      <w:r>
        <w:rPr>
          <w:rFonts w:ascii="Times New Roman" w:cs="Times New Roman" w:hAnsi="Times New Roman"/>
          <w:sz w:val="22"/>
          <w:szCs w:val="22"/>
        </w:rPr>
        <w:t xml:space="preserve">The chi – square showed that there is a significant </w:t>
      </w:r>
      <w:r>
        <w:rPr>
          <w:rFonts w:ascii="Times New Roman" w:cs="Times New Roman" w:hAnsi="Times New Roman"/>
          <w:sz w:val="22"/>
          <w:szCs w:val="22"/>
        </w:rPr>
        <w:t>relationship between age (p&lt;0.004) and the attitudes towards malaria in pregnancy.</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bookmarkStart w:id="0" w:name="_GoBack"/>
      <w:bookmarkEnd w:id="0"/>
      <w:r>
        <w:rPr>
          <w:rFonts w:ascii="Times New Roman" w:cs="Times New Roman" w:hAnsi="Times New Roman"/>
          <w:b/>
          <w:color w:val="000000"/>
          <w:sz w:val="22"/>
          <w:szCs w:val="22"/>
        </w:rPr>
        <w:t>Perceptions of Malaria in Pregnancy</w:t>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The chi –square result revealed that age (p&lt;0.004) and hospital/health centre (p&lt;0.000) where the respondent registered for antenatal cli</w:t>
      </w:r>
      <w:r>
        <w:rPr>
          <w:rFonts w:ascii="Times New Roman" w:cs="Times New Roman" w:hAnsi="Times New Roman"/>
          <w:sz w:val="22"/>
          <w:szCs w:val="22"/>
        </w:rPr>
        <w:t>nics has a significant relationship with the perceptions of malaria in pregnancy.</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CONCLUSION</w:t>
      </w:r>
    </w:p>
    <w:p>
      <w:pPr>
        <w:pStyle w:val="style0"/>
        <w:spacing w:after="0" w:lineRule="auto" w:line="360"/>
        <w:jc w:val="both"/>
        <w:rPr>
          <w:rFonts w:ascii="Times New Roman" w:cs="Times New Roman" w:hAnsi="Times New Roman"/>
          <w:b/>
        </w:rPr>
      </w:pPr>
      <w:r>
        <w:rPr>
          <w:rFonts w:ascii="Times New Roman" w:cs="Times New Roman" w:hAnsi="Times New Roman"/>
          <w:sz w:val="22"/>
          <w:szCs w:val="22"/>
        </w:rPr>
        <w:t>This study therefore concluded that malaria in pregnancy is a global burden which its present and future effects are very dangerous to the health of the individual</w:t>
      </w:r>
      <w:r>
        <w:rPr>
          <w:rFonts w:ascii="Times New Roman" w:cs="Times New Roman" w:hAnsi="Times New Roman"/>
          <w:sz w:val="22"/>
          <w:szCs w:val="22"/>
        </w:rPr>
        <w:t xml:space="preserve"> (mother and the foetus in the womb), family, society and the nation at large. All efforts must be channelled towards the prevention, diagnosis, treatment and control of malaria in pregnancy so as to avert the resultant effects of malaria in pregnancy on t</w:t>
      </w:r>
      <w:r>
        <w:rPr>
          <w:rFonts w:ascii="Times New Roman" w:cs="Times New Roman" w:hAnsi="Times New Roman"/>
          <w:sz w:val="22"/>
          <w:szCs w:val="22"/>
        </w:rPr>
        <w:t>he mother, unborn child, family, community, nation and the world at large.</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ACKNOWLEDGEMENTS</w:t>
      </w:r>
    </w:p>
    <w:p>
      <w:pPr>
        <w:pStyle w:val="style0"/>
        <w:spacing w:after="0" w:lineRule="auto" w:line="360"/>
        <w:jc w:val="both"/>
        <w:rPr>
          <w:rFonts w:ascii="Times New Roman" w:cs="Times New Roman" w:hAnsi="Times New Roman"/>
          <w:color w:val="000000"/>
          <w:sz w:val="22"/>
          <w:szCs w:val="22"/>
        </w:rPr>
      </w:pPr>
      <w:r>
        <w:rPr>
          <w:rFonts w:ascii="Times New Roman" w:cs="Times New Roman" w:hAnsi="Times New Roman"/>
          <w:bCs/>
          <w:sz w:val="22"/>
          <w:szCs w:val="22"/>
        </w:rPr>
        <w:t xml:space="preserve">I </w:t>
      </w:r>
      <w:r>
        <w:rPr>
          <w:rFonts w:ascii="Times New Roman" w:cs="Times New Roman" w:hAnsi="Times New Roman"/>
          <w:color w:val="000000"/>
          <w:sz w:val="22"/>
          <w:szCs w:val="22"/>
        </w:rPr>
        <w:t>appreciate the support and cooperation of all the nurses and pregnant women that participated in this study.</w:t>
      </w:r>
    </w:p>
    <w:p>
      <w:pPr>
        <w:pStyle w:val="style0"/>
        <w:spacing w:before="240" w:after="0" w:lineRule="auto" w:line="360"/>
        <w:jc w:val="both"/>
        <w:rPr>
          <w:rFonts w:ascii="Times New Roman" w:cs="Times New Roman" w:hAnsi="Times New Roman"/>
          <w:sz w:val="22"/>
          <w:szCs w:val="22"/>
        </w:rPr>
      </w:pPr>
      <w:r>
        <w:rPr>
          <w:rFonts w:ascii="Times New Roman" w:cs="Times New Roman" w:hAnsi="Times New Roman"/>
          <w:b/>
          <w:sz w:val="22"/>
          <w:szCs w:val="22"/>
        </w:rPr>
        <w:t>REFERENCES</w:t>
      </w:r>
    </w:p>
    <w:p>
      <w:pPr>
        <w:pStyle w:val="style179"/>
        <w:numPr>
          <w:ilvl w:val="0"/>
          <w:numId w:val="1"/>
        </w:numPr>
        <w:spacing w:after="0" w:lineRule="auto" w:line="360"/>
        <w:ind w:left="360"/>
        <w:jc w:val="both"/>
        <w:rPr>
          <w:rFonts w:ascii="Times New Roman" w:cs="Times New Roman" w:hAnsi="Times New Roman"/>
          <w:sz w:val="22"/>
          <w:szCs w:val="22"/>
        </w:rPr>
      </w:pPr>
      <w:r>
        <w:rPr>
          <w:rFonts w:ascii="Times New Roman" w:cs="Times New Roman" w:hAnsi="Times New Roman"/>
          <w:sz w:val="22"/>
          <w:szCs w:val="22"/>
        </w:rPr>
        <w:t>Adedotun AA, Morenikeji OA, Odaibo AB (201</w:t>
      </w:r>
      <w:r>
        <w:rPr>
          <w:rFonts w:ascii="Times New Roman" w:cs="Times New Roman" w:hAnsi="Times New Roman"/>
          <w:sz w:val="22"/>
          <w:szCs w:val="22"/>
        </w:rPr>
        <w:t>0): Knowledge, attitudes and practices about malaria in an urban community in South-Western Nigeria. J Vector Borne Dis 2010, 47:155–159.</w:t>
      </w:r>
    </w:p>
    <w:p>
      <w:pPr>
        <w:pStyle w:val="style179"/>
        <w:numPr>
          <w:ilvl w:val="0"/>
          <w:numId w:val="1"/>
        </w:numPr>
        <w:spacing w:after="0" w:lineRule="auto" w:line="360"/>
        <w:ind w:left="360"/>
        <w:jc w:val="both"/>
        <w:rPr>
          <w:rFonts w:ascii="Times New Roman" w:cs="Times New Roman" w:hAnsi="Times New Roman"/>
          <w:sz w:val="22"/>
          <w:szCs w:val="22"/>
        </w:rPr>
      </w:pPr>
      <w:r>
        <w:rPr>
          <w:rFonts w:ascii="Times New Roman" w:cs="Times New Roman" w:hAnsi="Times New Roman"/>
          <w:sz w:val="22"/>
          <w:szCs w:val="22"/>
        </w:rPr>
        <w:t>Alba S, Gross K, Schellenberg J, Kessy F, Mayumana I, Obrist B (2011): The combined effect of determinants on coverage</w:t>
      </w:r>
      <w:r>
        <w:rPr>
          <w:rFonts w:ascii="Times New Roman" w:cs="Times New Roman" w:hAnsi="Times New Roman"/>
          <w:sz w:val="22"/>
          <w:szCs w:val="22"/>
        </w:rPr>
        <w:t xml:space="preserve"> of intermittent preventive treatment of malaria during pregnancy in the Kilombero Valley. Tanzania Malar J 2011, 10:140.</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Erhun, W. O., Agbani, E. O., and Adesanya, S. O. (2005). Malaria prevention: knowledge, attitude and practice in a southwestern Nigeri</w:t>
      </w:r>
      <w:r>
        <w:rPr>
          <w:rFonts w:ascii="Times New Roman" w:cs="Times New Roman" w:hAnsi="Times New Roman"/>
          <w:sz w:val="22"/>
          <w:szCs w:val="22"/>
        </w:rPr>
        <w:t xml:space="preserve">an community. Afr. J. Biomed. Res.,8:25–29. </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 xml:space="preserve">Federal Ministry of Health (2008): Malaria situation analysis document; Federal Ministry of Health, Nigeria., p 14. </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Greenwood BM, Bojang K, Whitty C, Targett G (2007): Malaria in pregnancy. Lancet 2007, 365: 14</w:t>
      </w:r>
      <w:r>
        <w:rPr>
          <w:rFonts w:ascii="Times New Roman" w:cs="Times New Roman" w:hAnsi="Times New Roman"/>
          <w:sz w:val="22"/>
          <w:szCs w:val="22"/>
        </w:rPr>
        <w:t>74-1480</w:t>
      </w:r>
    </w:p>
    <w:p>
      <w:pPr>
        <w:pStyle w:val="style179"/>
        <w:numPr>
          <w:ilvl w:val="0"/>
          <w:numId w:val="1"/>
        </w:numPr>
        <w:spacing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Guyatt HL, Snow RW (2001): Malaria in pregnancy as an indirect cause of infant mortality in Sub-Saharan Africa. Trans R Soc Trop Med Hyg 2001; 95: 569–76.</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 xml:space="preserve">Guyatt HL and Snow RW (2004) Impact of Malaria during Pregnancy on Low Birth weight in </w:t>
      </w:r>
      <w:r>
        <w:rPr>
          <w:rFonts w:ascii="Times New Roman" w:cs="Times New Roman" w:hAnsi="Times New Roman"/>
          <w:sz w:val="22"/>
          <w:szCs w:val="22"/>
        </w:rPr>
        <w:t>Sub-Saharan Africa. Clinical Microbiology Reviews 17: 760-769</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Hlongwana, K. W., Mabaso, M. L., Kunene, S., Govender, D., &amp; Maharaj, R. (2009): Community knowledge, attitudes and practices (KAP) on Malaria in Swaziland: A country earmarked for Malaria elimi</w:t>
      </w:r>
      <w:r>
        <w:rPr>
          <w:rFonts w:ascii="Times New Roman" w:cs="Times New Roman" w:hAnsi="Times New Roman"/>
          <w:sz w:val="22"/>
          <w:szCs w:val="22"/>
        </w:rPr>
        <w:t>nation. Malaria Journal, 8 (1), 1-8.</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 xml:space="preserve">Jhpiego, G. (2005): Malaria in pregnancy in Nigeria. </w:t>
      </w:r>
      <w:r>
        <w:rPr>
          <w:rFonts w:ascii="Times New Roman" w:cs="Times New Roman" w:hAnsi="Times New Roman"/>
          <w:iCs/>
          <w:color w:val="000000"/>
          <w:sz w:val="22"/>
          <w:szCs w:val="22"/>
        </w:rPr>
        <w:t xml:space="preserve">Lancet, </w:t>
      </w:r>
      <w:r>
        <w:rPr>
          <w:rFonts w:ascii="Times New Roman" w:cs="Times New Roman" w:hAnsi="Times New Roman"/>
          <w:color w:val="000000"/>
          <w:sz w:val="22"/>
          <w:szCs w:val="22"/>
        </w:rPr>
        <w:t>36:174-180.</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Josephine N. Chukwurah, Emmanuel T. Idowu, Adeniyi K. Adeneye, Oluwagbemiga O. Aina, Philip U. Agomo, Adetoro O. Otubanjo (2016):  Knowledge, atti</w:t>
      </w:r>
      <w:r>
        <w:rPr>
          <w:rFonts w:ascii="Times New Roman" w:cs="Times New Roman" w:hAnsi="Times New Roman"/>
          <w:sz w:val="22"/>
          <w:szCs w:val="22"/>
        </w:rPr>
        <w:t>tude and practice on malaria prevention and sulfadoxine- pyrimethamine utilisation among pregnant women in Badagry, Lagos State, Nigeria. MalariaWorld Journal, ISSN 2214-4374, March 2016, Vol. 7, No. 3</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Nigeria Malaria Factsheet (2011): December 2011</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Nosten</w:t>
      </w:r>
      <w:r>
        <w:rPr>
          <w:rFonts w:ascii="Times New Roman" w:cs="Times New Roman" w:hAnsi="Times New Roman"/>
          <w:color w:val="000000"/>
          <w:sz w:val="22"/>
          <w:szCs w:val="22"/>
        </w:rPr>
        <w:t xml:space="preserve">, F., ter Kuile, F., and Malankiri, L. (2006): Malaria in pregnancy in an area of unstable endemicity. </w:t>
      </w:r>
      <w:r>
        <w:rPr>
          <w:rFonts w:ascii="Times New Roman" w:cs="Times New Roman" w:hAnsi="Times New Roman"/>
          <w:iCs/>
          <w:color w:val="000000"/>
          <w:sz w:val="22"/>
          <w:szCs w:val="22"/>
        </w:rPr>
        <w:t>Trans Royal Soc</w:t>
      </w:r>
      <w:r>
        <w:rPr>
          <w:rFonts w:ascii="Times New Roman" w:cs="Times New Roman" w:hAnsi="Times New Roman"/>
          <w:color w:val="000000"/>
          <w:sz w:val="22"/>
          <w:szCs w:val="22"/>
        </w:rPr>
        <w:t xml:space="preserve">. </w:t>
      </w:r>
      <w:r>
        <w:rPr>
          <w:rFonts w:ascii="Times New Roman" w:cs="Times New Roman" w:hAnsi="Times New Roman"/>
          <w:iCs/>
          <w:color w:val="000000"/>
          <w:sz w:val="22"/>
          <w:szCs w:val="22"/>
        </w:rPr>
        <w:t>Trop. Med. Hyg</w:t>
      </w:r>
      <w:r>
        <w:rPr>
          <w:rFonts w:ascii="Times New Roman" w:cs="Times New Roman" w:hAnsi="Times New Roman"/>
          <w:color w:val="000000"/>
          <w:sz w:val="22"/>
          <w:szCs w:val="22"/>
        </w:rPr>
        <w:t>., 48: 154-160.</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hAnsi="Times New Roman"/>
          <w:sz w:val="22"/>
          <w:szCs w:val="22"/>
        </w:rPr>
        <w:t>Nwogu, E. C. (2009). Utilization of maternity care in Nigeria. Global Journal of Pure and</w:t>
      </w:r>
      <w:r>
        <w:rPr>
          <w:rFonts w:ascii="Times New Roman" w:hAnsi="Times New Roman"/>
          <w:sz w:val="22"/>
          <w:szCs w:val="22"/>
        </w:rPr>
        <w:tab/>
      </w:r>
      <w:r>
        <w:rPr>
          <w:rFonts w:ascii="Times New Roman" w:hAnsi="Times New Roman"/>
          <w:sz w:val="22"/>
          <w:szCs w:val="22"/>
        </w:rPr>
        <w:t>Applied Sciences</w:t>
      </w:r>
      <w:r>
        <w:rPr>
          <w:rFonts w:ascii="Times New Roman" w:hAnsi="Times New Roman"/>
          <w:sz w:val="22"/>
          <w:szCs w:val="22"/>
        </w:rPr>
        <w:t xml:space="preserve">, Vol. 15, No. 3,pp: 439-437. </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Royal College of Obstetricians and Gynaecologists (RCOG) (2010): The diagnosis and treatment of malaria in pregnancy. Green top guideline 54B; April 2010.</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Sabin, L.L., Abanish, A., Brooks, M.I., Singh, P., Tuchman, J., Wylie,</w:t>
      </w:r>
      <w:r>
        <w:rPr>
          <w:rFonts w:ascii="Times New Roman" w:cs="Times New Roman" w:hAnsi="Times New Roman"/>
          <w:sz w:val="22"/>
          <w:szCs w:val="22"/>
        </w:rPr>
        <w:t xml:space="preserve"> B.J., Joyce, M., Yeboah- Antwi, K., Singh, N., &amp; Hamer, D.H. (2010): Attitudes knowledge and practices regarding malaria prevention and treatment among pregnant women in Eastern India. Am. Journal. Tropical Hygiene. 82(6), 1010- 1016 doi: 10.4269/ajtmh.20</w:t>
      </w:r>
      <w:r>
        <w:rPr>
          <w:rFonts w:ascii="Times New Roman" w:cs="Times New Roman" w:hAnsi="Times New Roman"/>
          <w:sz w:val="22"/>
          <w:szCs w:val="22"/>
        </w:rPr>
        <w:t>10.09- 0339.</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Shimaponda-Mataa, N. M., Tembo-Mwase, E., Gebreslasie, M., and Mukaratirwa, S. (2016): Knowledge, attitudes and practices in the control and prevention of malaria in four endemic provinces of Zambia. Southern African Journal of Infectious Dise</w:t>
      </w:r>
      <w:r>
        <w:rPr>
          <w:rFonts w:ascii="Times New Roman" w:cs="Times New Roman" w:hAnsi="Times New Roman"/>
          <w:sz w:val="22"/>
          <w:szCs w:val="22"/>
        </w:rPr>
        <w:t>ases, 1 (1): 1–11.</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Snow RW, Guyatt HL (2001): Malaria in pregnancy as an indirect cause of infant mortality in sub-Saharan Africa. Trans R Soc Trop Med Hyg. 2001 Nov-Dec; 95(6):569-76.</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Steketee RW, Nahlen BL, Parise ME, Menendez C (2001): The burden of mal</w:t>
      </w:r>
      <w:r>
        <w:rPr>
          <w:rFonts w:ascii="Times New Roman" w:cs="Times New Roman" w:hAnsi="Times New Roman"/>
          <w:sz w:val="22"/>
          <w:szCs w:val="22"/>
        </w:rPr>
        <w:t>aria in pregnancy in malaria-endemic areas. Am J Trop Med Hyg 2001, 64:28–35.</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Vander, H. W., Presmasiri, D. A., and Wickremasinghe, A. R. (2005): Current Trends in the Control of Malaria: Case Management. J. Trop. Med. Public Health. 29:242-245.</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WHO (2004)</w:t>
      </w:r>
      <w:r>
        <w:rPr>
          <w:rFonts w:ascii="Times New Roman" w:cs="Times New Roman" w:hAnsi="Times New Roman"/>
          <w:sz w:val="22"/>
          <w:szCs w:val="22"/>
        </w:rPr>
        <w:t>: A Strategic Framework for Malaria Prevention and Control during Pregnancy in the African Region. Brazzaville: WHO Regional Office for Africa. AFR/MAL/04/01: pp 1-5.</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color w:val="000000"/>
          <w:sz w:val="22"/>
          <w:szCs w:val="22"/>
        </w:rPr>
        <w:t>WHO (2005): Roll Back Malaria World Health Organization, UNICEF, World Malaria Report Gen</w:t>
      </w:r>
      <w:r>
        <w:rPr>
          <w:rFonts w:ascii="Times New Roman" w:cs="Times New Roman" w:hAnsi="Times New Roman"/>
          <w:color w:val="000000"/>
          <w:sz w:val="22"/>
          <w:szCs w:val="22"/>
        </w:rPr>
        <w:t>eva.</w:t>
      </w:r>
    </w:p>
    <w:p>
      <w:pPr>
        <w:pStyle w:val="style179"/>
        <w:numPr>
          <w:ilvl w:val="0"/>
          <w:numId w:val="1"/>
        </w:numPr>
        <w:spacing w:lineRule="auto" w:line="360"/>
        <w:jc w:val="both"/>
        <w:rPr>
          <w:rFonts w:ascii="Times New Roman" w:cs="Times New Roman" w:hAnsi="Times New Roman"/>
          <w:b/>
          <w:sz w:val="22"/>
          <w:szCs w:val="22"/>
        </w:rPr>
        <w:sectPr>
          <w:type w:val="continuous"/>
          <w:pgSz w:w="11907" w:h="16839" w:orient="portrait"/>
          <w:pgMar w:top="1170" w:right="1440" w:bottom="1350" w:left="1440" w:header="720" w:footer="720" w:gutter="0"/>
          <w:cols w:space="720"/>
          <w:titlePg/>
          <w:docGrid w:linePitch="360"/>
        </w:sectPr>
      </w:pPr>
    </w:p>
    <w:p>
      <w:pPr>
        <w:pStyle w:val="style0"/>
        <w:spacing w:lineRule="auto" w:line="360"/>
        <w:rPr>
          <w:sz w:val="24"/>
          <w:szCs w:val="24"/>
        </w:rPr>
      </w:pPr>
    </w:p>
    <w:p>
      <w:pPr>
        <w:pStyle w:val="style0"/>
        <w:spacing w:lineRule="auto" w:line="360"/>
        <w:rPr>
          <w:sz w:val="24"/>
          <w:szCs w:val="24"/>
        </w:rPr>
      </w:pPr>
    </w:p>
    <w:p>
      <w:pPr>
        <w:pStyle w:val="style0"/>
        <w:spacing w:lineRule="auto" w:line="360"/>
        <w:rPr>
          <w:sz w:val="24"/>
          <w:szCs w:val="24"/>
        </w:rPr>
      </w:pPr>
    </w:p>
    <w:p>
      <w:pPr>
        <w:pStyle w:val="style0"/>
        <w:spacing w:lineRule="auto" w:line="360"/>
        <w:rPr>
          <w:sz w:val="24"/>
          <w:szCs w:val="24"/>
        </w:rPr>
      </w:pPr>
    </w:p>
    <w:p>
      <w:pPr>
        <w:pStyle w:val="style0"/>
        <w:spacing w:lineRule="auto" w:line="360"/>
        <w:rPr>
          <w:sz w:val="24"/>
          <w:szCs w:val="24"/>
        </w:rPr>
      </w:pPr>
    </w:p>
    <w:p>
      <w:pPr>
        <w:pStyle w:val="style0"/>
        <w:rPr/>
      </w:pPr>
    </w:p>
    <w:sectPr>
      <w:type w:val="continuous"/>
      <w:pgSz w:w="11907" w:h="16839" w:orient="portrait"/>
      <w:pgMar w:top="1170" w:right="1440" w:bottom="135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SimSun">
    <w:altName w:val="宋体"/>
    <w:panose1 w:val="02010600030000010101"/>
    <w:charset w:val="86"/>
    <w:family w:val="auto"/>
    <w:pitch w:val="variable"/>
    <w:sig w:usb0="00000003" w:usb1="288F0000" w:usb2="00000016" w:usb3="00000000" w:csb0="00040001" w:csb1="00000000"/>
  </w:font>
  <w:font w:name="Cambria">
    <w:altName w:val="Cambria"/>
    <w:panose1 w:val="02040503050000030204"/>
    <w:charset w:val="00"/>
    <w:family w:val="roman"/>
    <w:pitch w:val="variable"/>
    <w:sig w:usb0="E00002FF" w:usb1="400004FF" w:usb2="00000000" w:usb3="00000000" w:csb0="0000019F" w:csb1="00000000"/>
  </w:font>
  <w:font w:name="宋体">
    <w:altName w:val="宋体"/>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r>
      <w:rPr>
        <w:noProof/>
        <w:lang w:eastAsia="zh-TW"/>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6</w:t>
                          </w:r>
                          <w:r>
                            <w:rPr>
                              <w:lang w:val="en-US"/>
                            </w:rPr>
                            <w:fldChar w:fldCharType="end"/>
                          </w:r>
                        </w:p>
                      </w:txbxContent>
                    </wps:txbx>
                    <wps:bodyPr lIns="0" rIns="0" tIns="0" bIns="0" vert="horz" anchor="t" wrap="non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6</w:t>
                    </w:r>
                    <w:r>
                      <w:rPr>
                        <w:lang w:val="en-US"/>
                      </w:rPr>
                      <w:fldChar w:fldCharType="end"/>
                    </w:r>
                  </w:p>
                </w:txbxContent>
              </v:textbox>
            </v:rect>
          </w:pict>
        </mc:Fallback>
      </mc:AlternateConten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r>
      <w:rPr>
        <w:noProof/>
        <w:lang w:eastAsia="zh-TW"/>
      </w:rPr>
      <mc:AlternateContent>
        <mc:Choice Requires="wps">
          <w:drawing>
            <wp:anchor distT="0" distB="0" distL="0" distR="0" simplePos="false" relativeHeight="3"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8" name="Text Box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p>
                      </w:txbxContent>
                    </wps:txbx>
                    <wps:bodyPr lIns="0" rIns="0" tIns="0" bIns="0" vert="horz" anchor="t" wrap="none">
                      <a:prstTxWarp prst="textNoShape"/>
                      <a:spAutoFit/>
                    </wps:bodyPr>
                  </wps:wsp>
                </a:graphicData>
              </a:graphic>
            </wp:anchor>
          </w:drawing>
        </mc:Choice>
        <mc:Fallback>
          <w:pict>
            <v:rect id="4098" filled="f" stroked="f" style="position:absolute;margin-left:0.0pt;margin-top:0.0pt;width:144.0pt;height:144.0pt;z-index:3;mso-position-horizontal:right;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D895F9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lang w:val="en-GB" w:bidi="ar-SA" w:eastAsia="zh-TW"/>
      </w:rPr>
    </w:rPrDefault>
    <w:pPrDefault>
      <w:pPr>
        <w:spacing w:after="200" w:lineRule="auto" w:line="276"/>
      </w:pPr>
    </w:pPrDefault>
  </w:docDefaults>
  <w:style w:type="paragraph" w:default="1" w:styleId="style0">
    <w:name w:val="Normal"/>
    <w:next w:val="style0"/>
    <w:qFormat/>
    <w:pPr/>
    <w:rPr>
      <w:rFonts w:eastAsia="宋体"/>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link w:val="style4098"/>
    <w:qFormat/>
    <w:uiPriority w:val="99"/>
    <w:pPr>
      <w:tabs>
        <w:tab w:val="center" w:leader="none" w:pos="4680"/>
        <w:tab w:val="right" w:leader="none" w:pos="9360"/>
      </w:tabs>
      <w:spacing w:after="0" w:lineRule="auto" w:line="240"/>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styleId="style85">
    <w:name w:val="Hyperlink"/>
    <w:basedOn w:val="style65"/>
    <w:next w:val="style85"/>
    <w:qFormat/>
    <w:uiPriority w:val="99"/>
    <w:rPr>
      <w:color w:val="0000ff"/>
      <w:u w:val="single"/>
    </w:rPr>
  </w:style>
  <w:style w:type="table" w:styleId="style154">
    <w:name w:val="Table Grid"/>
    <w:basedOn w:val="style105"/>
    <w:next w:val="style154"/>
    <w:qFormat/>
    <w:uiPriority w:val="59"/>
    <w:pPr>
      <w:spacing w:after="0" w:lineRule="auto" w:line="240"/>
    </w:pPr>
    <w:rPr>
      <w:rFonts w:eastAsia="宋体"/>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097">
    <w:name w:val="Header Char_0b88b918-916b-4120-9bf9-afbe5b247c6c"/>
    <w:basedOn w:val="style65"/>
    <w:next w:val="style4097"/>
    <w:link w:val="style31"/>
    <w:qFormat/>
    <w:uiPriority w:val="99"/>
    <w:rPr>
      <w:rFonts w:eastAsia="宋体"/>
      <w:sz w:val="20"/>
      <w:szCs w:val="20"/>
      <w:lang w:eastAsia="zh-CN"/>
    </w:rPr>
  </w:style>
  <w:style w:type="character" w:customStyle="1" w:styleId="style4098">
    <w:name w:val="Footer Char_38d39d5d-6ebe-43b3-b271-6ee2c0189e03"/>
    <w:basedOn w:val="style65"/>
    <w:next w:val="style4098"/>
    <w:link w:val="style32"/>
    <w:qFormat/>
    <w:uiPriority w:val="99"/>
    <w:rPr>
      <w:rFonts w:eastAsia="宋体"/>
      <w:sz w:val="20"/>
      <w:szCs w:val="20"/>
      <w:lang w:eastAsia="zh-CN"/>
    </w:rPr>
  </w:style>
  <w:style w:type="character" w:customStyle="1" w:styleId="style4099">
    <w:name w:val="fontstyle01"/>
    <w:basedOn w:val="style65"/>
    <w:next w:val="style4099"/>
    <w:qFormat/>
    <w:rPr>
      <w:rFonts w:ascii="QrfvjsGiovanni-Book" w:hAnsi="QrfvjsGiovanni-Book" w:hint="default"/>
      <w:color w:val="000000"/>
      <w:sz w:val="20"/>
      <w:szCs w:val="20"/>
    </w:rPr>
  </w:style>
  <w:style w:type="character" w:customStyle="1" w:styleId="style4100">
    <w:name w:val="15"/>
    <w:basedOn w:val="style65"/>
    <w:next w:val="style4100"/>
    <w:qFormat/>
    <w:rPr>
      <w:rFonts w:ascii="Calibri" w:hAnsi="Calibri" w:hint="default"/>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2741</Words>
  <Pages>8</Pages>
  <Characters>15158</Characters>
  <Application>WPS Office</Application>
  <DocSecurity>0</DocSecurity>
  <Paragraphs>450</Paragraphs>
  <ScaleCrop>false</ScaleCrop>
  <LinksUpToDate>false</LinksUpToDate>
  <CharactersWithSpaces>17732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2021-11-25T03:25:45Z</dcterms:created>
  <dc:creator>DR OMOGE ADEYEMI</dc:creator>
  <lastModifiedBy>TECNO KC8</lastModifiedBy>
  <dcterms:modified xsi:type="dcterms:W3CDTF">2021-11-25T03:26:40Z</dcterms:modified>
  <revision>41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