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3CC5F" w14:textId="77777777" w:rsidR="00815232" w:rsidRDefault="00815232" w:rsidP="00E6732B">
      <w:pPr>
        <w:rPr>
          <w:rFonts w:ascii="Times New Roman" w:eastAsia="Times New Roman" w:hAnsi="Times New Roman" w:cs="Times New Roman"/>
          <w:b/>
          <w:bCs/>
          <w:sz w:val="32"/>
          <w:szCs w:val="32"/>
        </w:rPr>
      </w:pPr>
      <w:proofErr w:type="spellStart"/>
      <w:r>
        <w:rPr>
          <w:rFonts w:ascii="Times New Roman" w:eastAsia="Times New Roman" w:hAnsi="Times New Roman" w:cs="Times New Roman"/>
          <w:b/>
          <w:bCs/>
          <w:sz w:val="32"/>
          <w:szCs w:val="32"/>
        </w:rPr>
        <w:t>Kawthar</w:t>
      </w:r>
      <w:proofErr w:type="spellEnd"/>
      <w:r>
        <w:rPr>
          <w:rFonts w:ascii="Times New Roman" w:eastAsia="Times New Roman" w:hAnsi="Times New Roman" w:cs="Times New Roman"/>
          <w:b/>
          <w:bCs/>
          <w:sz w:val="32"/>
          <w:szCs w:val="32"/>
        </w:rPr>
        <w:t xml:space="preserve"> </w:t>
      </w:r>
      <w:proofErr w:type="spellStart"/>
      <w:r>
        <w:rPr>
          <w:rFonts w:ascii="Times New Roman" w:eastAsia="Times New Roman" w:hAnsi="Times New Roman" w:cs="Times New Roman"/>
          <w:b/>
          <w:bCs/>
          <w:sz w:val="32"/>
          <w:szCs w:val="32"/>
        </w:rPr>
        <w:t>Alghasham</w:t>
      </w:r>
      <w:bookmarkStart w:id="0" w:name="_GoBack"/>
      <w:bookmarkEnd w:id="0"/>
      <w:proofErr w:type="spellEnd"/>
    </w:p>
    <w:p w14:paraId="394EE08E" w14:textId="77777777" w:rsidR="00574C05" w:rsidRDefault="00574C05" w:rsidP="00E6732B">
      <w:pP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Pharmacist, Saudi Arabia</w:t>
      </w:r>
    </w:p>
    <w:p w14:paraId="043982DE" w14:textId="0D7AC11B" w:rsidR="00E6732B" w:rsidRPr="00E6732B" w:rsidRDefault="00E6732B" w:rsidP="00E6732B">
      <w:pPr>
        <w:rPr>
          <w:rFonts w:ascii="Times New Roman" w:eastAsia="Times New Roman" w:hAnsi="Times New Roman" w:cs="Times New Roman"/>
          <w:sz w:val="32"/>
          <w:szCs w:val="32"/>
        </w:rPr>
      </w:pPr>
      <w:r w:rsidRPr="00E6732B">
        <w:rPr>
          <w:rFonts w:ascii="Times New Roman" w:eastAsia="Times New Roman" w:hAnsi="Times New Roman" w:cs="Times New Roman"/>
          <w:b/>
          <w:bCs/>
          <w:sz w:val="32"/>
          <w:szCs w:val="32"/>
        </w:rPr>
        <w:t>abstract </w:t>
      </w:r>
    </w:p>
    <w:p w14:paraId="2D5E39B2" w14:textId="77777777" w:rsidR="00E6732B" w:rsidRPr="00E6732B" w:rsidRDefault="00E6732B" w:rsidP="00E6732B">
      <w:pPr>
        <w:spacing w:before="180" w:after="90"/>
        <w:jc w:val="both"/>
        <w:rPr>
          <w:rFonts w:ascii="Arial" w:hAnsi="Arial" w:cs="Arial"/>
          <w:color w:val="222222"/>
          <w:sz w:val="22"/>
          <w:szCs w:val="22"/>
        </w:rPr>
      </w:pPr>
      <w:r w:rsidRPr="00E6732B">
        <w:rPr>
          <w:rFonts w:ascii="Arial" w:hAnsi="Arial" w:cs="Arial"/>
          <w:b/>
          <w:bCs/>
          <w:color w:val="222222"/>
          <w:sz w:val="22"/>
          <w:szCs w:val="22"/>
        </w:rPr>
        <w:t>Evaluation of the antimicrobial effect of expired oral antibiotics</w:t>
      </w:r>
    </w:p>
    <w:p w14:paraId="12D81A3D" w14:textId="77777777" w:rsidR="00E6732B" w:rsidRPr="00E6732B" w:rsidRDefault="00E6732B" w:rsidP="00E6732B">
      <w:pPr>
        <w:spacing w:after="150"/>
        <w:rPr>
          <w:rFonts w:ascii="Arial" w:hAnsi="Arial" w:cs="Arial"/>
          <w:color w:val="222222"/>
          <w:sz w:val="22"/>
          <w:szCs w:val="22"/>
        </w:rPr>
      </w:pPr>
      <w:r w:rsidRPr="00E6732B">
        <w:rPr>
          <w:rFonts w:ascii="Arial" w:hAnsi="Arial" w:cs="Arial"/>
          <w:color w:val="222222"/>
          <w:sz w:val="22"/>
          <w:szCs w:val="22"/>
        </w:rPr>
        <w:t>In-Vitro </w:t>
      </w:r>
    </w:p>
    <w:p w14:paraId="07734EF6" w14:textId="77777777" w:rsidR="00E6732B" w:rsidRPr="00E6732B" w:rsidRDefault="00E6732B" w:rsidP="00E6732B">
      <w:pPr>
        <w:rPr>
          <w:rFonts w:ascii="Palatino Linotype" w:hAnsi="Palatino Linotype" w:cs="Times New Roman"/>
          <w:color w:val="222222"/>
        </w:rPr>
      </w:pPr>
      <w:r w:rsidRPr="00E6732B">
        <w:rPr>
          <w:rFonts w:ascii="Palatino Linotype" w:hAnsi="Palatino Linotype" w:cs="Times New Roman"/>
          <w:color w:val="222222"/>
        </w:rPr>
        <w:t>Introduction </w:t>
      </w:r>
    </w:p>
    <w:p w14:paraId="6DA8DAB4" w14:textId="77777777" w:rsidR="00E6732B" w:rsidRPr="00E6732B" w:rsidRDefault="00E6732B" w:rsidP="00E6732B">
      <w:pPr>
        <w:rPr>
          <w:rFonts w:ascii="Palatino Linotype" w:hAnsi="Palatino Linotype" w:cs="Times New Roman"/>
          <w:color w:val="222222"/>
        </w:rPr>
      </w:pPr>
      <w:r w:rsidRPr="00E6732B">
        <w:rPr>
          <w:rFonts w:ascii="Palatino Linotype" w:hAnsi="Palatino Linotype" w:cs="Times New Roman"/>
          <w:color w:val="222222"/>
        </w:rPr>
        <w:t>In spite of significant risks, as well as non-clinical importance due to loss of potency, stiff penalties against administration of expired antibiotics are still not appropriately enforced by health policy makers in many developing countries, possibly because of little evidence to support that expired medications are hazardous </w:t>
      </w:r>
    </w:p>
    <w:p w14:paraId="01DB1318" w14:textId="77777777" w:rsidR="00E6732B" w:rsidRPr="00E6732B" w:rsidRDefault="00E6732B" w:rsidP="00E6732B">
      <w:pPr>
        <w:rPr>
          <w:rFonts w:ascii="Palatino Linotype" w:hAnsi="Palatino Linotype" w:cs="Times New Roman"/>
          <w:color w:val="222222"/>
        </w:rPr>
      </w:pPr>
    </w:p>
    <w:p w14:paraId="4C78422E" w14:textId="77777777" w:rsidR="00E6732B" w:rsidRPr="00E6732B" w:rsidRDefault="00E6732B" w:rsidP="00E6732B">
      <w:pPr>
        <w:rPr>
          <w:rFonts w:ascii="Palatino Linotype" w:hAnsi="Palatino Linotype" w:cs="Times New Roman"/>
          <w:color w:val="222222"/>
        </w:rPr>
      </w:pPr>
      <w:r w:rsidRPr="00E6732B">
        <w:rPr>
          <w:rFonts w:ascii="Palatino Linotype" w:hAnsi="Palatino Linotype" w:cs="Times New Roman"/>
          <w:color w:val="222222"/>
        </w:rPr>
        <w:t>objective</w:t>
      </w:r>
    </w:p>
    <w:p w14:paraId="3C8FBCF9" w14:textId="77777777" w:rsidR="00E6732B" w:rsidRPr="00E6732B" w:rsidRDefault="00E6732B" w:rsidP="00E6732B">
      <w:pPr>
        <w:rPr>
          <w:rFonts w:ascii="Palatino Linotype" w:hAnsi="Palatino Linotype" w:cs="Times New Roman"/>
          <w:color w:val="222222"/>
        </w:rPr>
      </w:pPr>
    </w:p>
    <w:p w14:paraId="71517A44" w14:textId="77777777" w:rsidR="00E6732B" w:rsidRPr="00E6732B" w:rsidRDefault="00E6732B" w:rsidP="00E6732B">
      <w:pPr>
        <w:rPr>
          <w:rFonts w:ascii="Palatino Linotype" w:hAnsi="Palatino Linotype" w:cs="Times New Roman"/>
          <w:color w:val="222222"/>
        </w:rPr>
      </w:pPr>
      <w:r w:rsidRPr="00E6732B">
        <w:rPr>
          <w:rFonts w:ascii="Palatino Linotype" w:hAnsi="Palatino Linotype" w:cs="Times New Roman"/>
          <w:color w:val="222222"/>
        </w:rPr>
        <w:t>To investigate the effect of expiration dates on in vitro bacteriostatic potentials of different oral antibiotics. </w:t>
      </w:r>
    </w:p>
    <w:p w14:paraId="5DCC6C6D" w14:textId="77777777" w:rsidR="00E6732B" w:rsidRPr="00E6732B" w:rsidRDefault="00E6732B" w:rsidP="00E6732B">
      <w:pPr>
        <w:rPr>
          <w:rFonts w:ascii="Palatino Linotype" w:hAnsi="Palatino Linotype" w:cs="Times New Roman"/>
          <w:color w:val="222222"/>
        </w:rPr>
      </w:pPr>
      <w:r w:rsidRPr="00E6732B">
        <w:rPr>
          <w:rFonts w:ascii="Palatino Linotype" w:hAnsi="Palatino Linotype" w:cs="Times New Roman"/>
          <w:color w:val="222222"/>
        </w:rPr>
        <w:t>The potency of five antibiotics , both expired and unexpired,</w:t>
      </w:r>
      <w:r w:rsidRPr="004F5259">
        <w:rPr>
          <w:rFonts w:ascii="Palatino Linotype" w:hAnsi="Palatino Linotype" w:cs="Times New Roman"/>
          <w:color w:val="222222"/>
        </w:rPr>
        <w:t> </w:t>
      </w:r>
      <w:r w:rsidRPr="00E6732B">
        <w:rPr>
          <w:rFonts w:ascii="Palatino Linotype" w:hAnsi="Palatino Linotype" w:cs="Times New Roman"/>
          <w:b/>
          <w:bCs/>
          <w:color w:val="222222"/>
        </w:rPr>
        <w:t>Azithromycin</w:t>
      </w:r>
      <w:r w:rsidRPr="00E6732B">
        <w:rPr>
          <w:rFonts w:ascii="Palatino Linotype" w:hAnsi="Palatino Linotype" w:cs="Times New Roman"/>
          <w:color w:val="222222"/>
        </w:rPr>
        <w:t>, ,</w:t>
      </w:r>
      <w:r w:rsidRPr="004F5259">
        <w:rPr>
          <w:rFonts w:ascii="Palatino Linotype" w:hAnsi="Palatino Linotype" w:cs="Times New Roman"/>
          <w:color w:val="222222"/>
        </w:rPr>
        <w:t> </w:t>
      </w:r>
      <w:proofErr w:type="spellStart"/>
      <w:r w:rsidRPr="00E6732B">
        <w:rPr>
          <w:rFonts w:ascii="Palatino Linotype" w:hAnsi="Palatino Linotype" w:cs="Times New Roman"/>
          <w:b/>
          <w:bCs/>
          <w:color w:val="222222"/>
        </w:rPr>
        <w:t>Clarithromycin</w:t>
      </w:r>
      <w:proofErr w:type="spellEnd"/>
      <w:r w:rsidRPr="00E6732B">
        <w:rPr>
          <w:rFonts w:ascii="Palatino Linotype" w:hAnsi="Palatino Linotype" w:cs="Times New Roman"/>
          <w:color w:val="222222"/>
        </w:rPr>
        <w:t>,</w:t>
      </w:r>
      <w:r w:rsidRPr="004F5259">
        <w:rPr>
          <w:rFonts w:ascii="Palatino Linotype" w:hAnsi="Palatino Linotype" w:cs="Times New Roman"/>
          <w:color w:val="222222"/>
        </w:rPr>
        <w:t> </w:t>
      </w:r>
      <w:proofErr w:type="spellStart"/>
      <w:r w:rsidRPr="00E6732B">
        <w:rPr>
          <w:rFonts w:ascii="Palatino Linotype" w:hAnsi="Palatino Linotype" w:cs="Times New Roman"/>
          <w:b/>
          <w:bCs/>
          <w:color w:val="222222"/>
        </w:rPr>
        <w:t>Levofloxacin</w:t>
      </w:r>
      <w:proofErr w:type="spellEnd"/>
      <w:r w:rsidRPr="004F5259">
        <w:rPr>
          <w:rFonts w:ascii="Palatino Linotype" w:hAnsi="Palatino Linotype" w:cs="Times New Roman"/>
          <w:b/>
          <w:bCs/>
          <w:color w:val="222222"/>
        </w:rPr>
        <w:t> </w:t>
      </w:r>
      <w:r w:rsidRPr="00E6732B">
        <w:rPr>
          <w:rFonts w:ascii="Palatino Linotype" w:hAnsi="Palatino Linotype" w:cs="Times New Roman"/>
          <w:color w:val="222222"/>
        </w:rPr>
        <w:t>and</w:t>
      </w:r>
      <w:r w:rsidRPr="004F5259">
        <w:rPr>
          <w:rFonts w:ascii="Palatino Linotype" w:hAnsi="Palatino Linotype" w:cs="Times New Roman"/>
          <w:color w:val="222222"/>
        </w:rPr>
        <w:t> </w:t>
      </w:r>
      <w:proofErr w:type="spellStart"/>
      <w:r w:rsidRPr="00E6732B">
        <w:rPr>
          <w:rFonts w:ascii="Palatino Linotype" w:hAnsi="Palatino Linotype" w:cs="Times New Roman"/>
          <w:b/>
          <w:bCs/>
          <w:color w:val="222222"/>
        </w:rPr>
        <w:t>Cloxicillin</w:t>
      </w:r>
      <w:proofErr w:type="spellEnd"/>
      <w:r w:rsidRPr="00E6732B">
        <w:rPr>
          <w:rFonts w:ascii="Palatino Linotype" w:hAnsi="Palatino Linotype" w:cs="Times New Roman"/>
          <w:color w:val="222222"/>
        </w:rPr>
        <w:t>, and</w:t>
      </w:r>
      <w:r w:rsidRPr="004F5259">
        <w:rPr>
          <w:rFonts w:ascii="Palatino Linotype" w:hAnsi="Palatino Linotype" w:cs="Times New Roman"/>
          <w:color w:val="222222"/>
        </w:rPr>
        <w:t> </w:t>
      </w:r>
      <w:r w:rsidRPr="00E6732B">
        <w:rPr>
          <w:rFonts w:ascii="Palatino Linotype" w:hAnsi="Palatino Linotype" w:cs="Times New Roman"/>
          <w:b/>
          <w:bCs/>
          <w:color w:val="222222"/>
        </w:rPr>
        <w:t>tetracycline</w:t>
      </w:r>
      <w:r w:rsidRPr="004F5259">
        <w:rPr>
          <w:rFonts w:ascii="Palatino Linotype" w:hAnsi="Palatino Linotype" w:cs="Times New Roman"/>
          <w:b/>
          <w:bCs/>
          <w:color w:val="222222"/>
        </w:rPr>
        <w:t> </w:t>
      </w:r>
      <w:r w:rsidRPr="00E6732B">
        <w:rPr>
          <w:rFonts w:ascii="Palatino Linotype" w:hAnsi="Palatino Linotype" w:cs="Times New Roman"/>
          <w:color w:val="222222"/>
        </w:rPr>
        <w:t>were investigated, based on the antimicrobial potentials. The investigation was done by challenging local isolates of different concentrations of</w:t>
      </w:r>
      <w:r w:rsidRPr="004F5259">
        <w:rPr>
          <w:rFonts w:ascii="Palatino Linotype" w:hAnsi="Palatino Linotype" w:cs="Times New Roman"/>
          <w:color w:val="222222"/>
        </w:rPr>
        <w:t> </w:t>
      </w:r>
      <w:r w:rsidRPr="00E6732B">
        <w:rPr>
          <w:rFonts w:ascii="Palatino Linotype" w:hAnsi="Palatino Linotype" w:cs="Times New Roman"/>
          <w:i/>
          <w:iCs/>
          <w:color w:val="222222"/>
        </w:rPr>
        <w:t>S. aureus</w:t>
      </w:r>
      <w:r w:rsidRPr="004F5259">
        <w:rPr>
          <w:rFonts w:ascii="Palatino Linotype" w:hAnsi="Palatino Linotype" w:cs="Times New Roman"/>
          <w:i/>
          <w:iCs/>
          <w:color w:val="222222"/>
        </w:rPr>
        <w:t> </w:t>
      </w:r>
      <w:r w:rsidRPr="00E6732B">
        <w:rPr>
          <w:rFonts w:ascii="Palatino Linotype" w:hAnsi="Palatino Linotype" w:cs="Times New Roman"/>
          <w:color w:val="222222"/>
        </w:rPr>
        <w:t>bacteria; using Disc diffusion technique . </w:t>
      </w:r>
    </w:p>
    <w:p w14:paraId="066876D4" w14:textId="77777777" w:rsidR="00E6732B" w:rsidRPr="00E6732B" w:rsidRDefault="00E6732B" w:rsidP="00E6732B">
      <w:pPr>
        <w:rPr>
          <w:rFonts w:ascii="Palatino Linotype" w:hAnsi="Palatino Linotype" w:cs="Times New Roman"/>
          <w:color w:val="222222"/>
        </w:rPr>
      </w:pPr>
    </w:p>
    <w:p w14:paraId="70A365B3" w14:textId="77777777" w:rsidR="00E6732B" w:rsidRPr="00E6732B" w:rsidRDefault="00E6732B" w:rsidP="00E6732B">
      <w:pPr>
        <w:rPr>
          <w:rFonts w:ascii="Arial" w:hAnsi="Arial" w:cs="Arial"/>
          <w:color w:val="222222"/>
        </w:rPr>
      </w:pPr>
      <w:r w:rsidRPr="00E6732B">
        <w:rPr>
          <w:rFonts w:ascii="Arial" w:hAnsi="Arial" w:cs="Arial"/>
          <w:b/>
          <w:bCs/>
          <w:color w:val="222222"/>
        </w:rPr>
        <w:t>Results and Discussion: </w:t>
      </w:r>
    </w:p>
    <w:p w14:paraId="47817731" w14:textId="77777777" w:rsidR="00E6732B" w:rsidRPr="00E6732B" w:rsidRDefault="00E6732B" w:rsidP="00E6732B">
      <w:pPr>
        <w:rPr>
          <w:rFonts w:ascii="Arial" w:hAnsi="Arial" w:cs="Arial"/>
          <w:color w:val="222222"/>
        </w:rPr>
      </w:pPr>
    </w:p>
    <w:p w14:paraId="4CC673AF" w14:textId="77777777" w:rsidR="00E6732B" w:rsidRPr="00E6732B" w:rsidRDefault="00E6732B" w:rsidP="00E6732B">
      <w:pPr>
        <w:rPr>
          <w:rFonts w:ascii="Times New Roman" w:hAnsi="Times New Roman" w:cs="Times New Roman"/>
          <w:color w:val="222222"/>
        </w:rPr>
      </w:pPr>
      <w:r w:rsidRPr="00E6732B">
        <w:rPr>
          <w:rFonts w:ascii="Times New Roman" w:hAnsi="Times New Roman" w:cs="Times New Roman"/>
          <w:b/>
          <w:bCs/>
          <w:color w:val="222222"/>
        </w:rPr>
        <w:t>Although the expired antibiotics potency was less than that of the control ones, it was found that the microorganisms challenged with these antibiotics were evaluated as susceptible (According to NCCLS) , as the diameter of inhibition zone lies within the susceptible range</w:t>
      </w:r>
    </w:p>
    <w:p w14:paraId="7450D517" w14:textId="77777777" w:rsidR="00E6732B" w:rsidRPr="00E6732B" w:rsidRDefault="00E6732B" w:rsidP="00E6732B">
      <w:pPr>
        <w:rPr>
          <w:rFonts w:ascii="Times New Roman" w:hAnsi="Times New Roman" w:cs="Times New Roman"/>
          <w:color w:val="222222"/>
        </w:rPr>
      </w:pPr>
    </w:p>
    <w:p w14:paraId="5C0BCF5C" w14:textId="77777777" w:rsidR="00E6732B" w:rsidRPr="00E6732B" w:rsidRDefault="00E6732B" w:rsidP="00E6732B">
      <w:pPr>
        <w:rPr>
          <w:rFonts w:ascii="Arial" w:hAnsi="Arial" w:cs="Arial"/>
          <w:color w:val="222222"/>
        </w:rPr>
      </w:pPr>
      <w:r w:rsidRPr="00E6732B">
        <w:rPr>
          <w:rFonts w:ascii="Arial" w:hAnsi="Arial" w:cs="Arial"/>
          <w:b/>
          <w:bCs/>
          <w:color w:val="222222"/>
        </w:rPr>
        <w:t>Recommendations</w:t>
      </w:r>
      <w:r w:rsidRPr="00E6732B">
        <w:rPr>
          <w:rFonts w:ascii="Arial" w:hAnsi="Arial" w:cs="Arial"/>
          <w:color w:val="222222"/>
        </w:rPr>
        <w:t>: </w:t>
      </w:r>
    </w:p>
    <w:p w14:paraId="4C1EEDF0" w14:textId="77777777" w:rsidR="00E6732B" w:rsidRPr="00E6732B" w:rsidRDefault="00E6732B" w:rsidP="00E6732B">
      <w:pPr>
        <w:rPr>
          <w:rFonts w:ascii="Arial" w:hAnsi="Arial" w:cs="Arial"/>
          <w:color w:val="222222"/>
        </w:rPr>
      </w:pPr>
      <w:r w:rsidRPr="00E6732B">
        <w:rPr>
          <w:rFonts w:ascii="Arial" w:hAnsi="Arial" w:cs="Arial"/>
          <w:color w:val="222222"/>
        </w:rPr>
        <w:t>1. If the antibiotic is needed, and the patient is not able to replace the expired antibiotic, there is no evidence that it is unsafe to take the medication in most cases </w:t>
      </w:r>
    </w:p>
    <w:p w14:paraId="599AF125" w14:textId="77777777" w:rsidR="00E6732B" w:rsidRPr="00E6732B" w:rsidRDefault="00E6732B" w:rsidP="00E6732B">
      <w:pPr>
        <w:rPr>
          <w:rFonts w:ascii="Arial" w:hAnsi="Arial" w:cs="Arial"/>
          <w:color w:val="222222"/>
        </w:rPr>
      </w:pPr>
      <w:r w:rsidRPr="00E6732B">
        <w:rPr>
          <w:rFonts w:ascii="Arial" w:hAnsi="Arial" w:cs="Arial"/>
          <w:color w:val="222222"/>
        </w:rPr>
        <w:t>2. Guidelines for storage of essential medicine should be followed with antibiotics. </w:t>
      </w:r>
    </w:p>
    <w:p w14:paraId="2821F3EE" w14:textId="77777777" w:rsidR="00E6732B" w:rsidRPr="00E6732B" w:rsidRDefault="00E6732B" w:rsidP="00E6732B">
      <w:pPr>
        <w:rPr>
          <w:rFonts w:ascii="Arial" w:hAnsi="Arial" w:cs="Arial"/>
          <w:color w:val="222222"/>
        </w:rPr>
      </w:pPr>
      <w:r w:rsidRPr="00E6732B">
        <w:rPr>
          <w:rFonts w:ascii="Arial" w:hAnsi="Arial" w:cs="Arial"/>
          <w:color w:val="222222"/>
        </w:rPr>
        <w:t>3. Public health policies based on national guidelines should include monitoring of the quality control of the expired antibiotic </w:t>
      </w:r>
    </w:p>
    <w:p w14:paraId="3997C2FC" w14:textId="77777777" w:rsidR="00E6732B" w:rsidRPr="00E6732B" w:rsidRDefault="00E6732B" w:rsidP="00E6732B">
      <w:pPr>
        <w:rPr>
          <w:rFonts w:cstheme="majorBidi"/>
          <w:b/>
          <w:bCs/>
          <w:color w:val="222222"/>
          <w:sz w:val="28"/>
          <w:szCs w:val="28"/>
        </w:rPr>
      </w:pPr>
    </w:p>
    <w:p w14:paraId="0E200901" w14:textId="77777777" w:rsidR="00E6732B" w:rsidRPr="00E6732B" w:rsidRDefault="00E6732B" w:rsidP="00E6732B">
      <w:pPr>
        <w:rPr>
          <w:rFonts w:cstheme="majorBidi"/>
          <w:b/>
          <w:bCs/>
          <w:color w:val="222222"/>
        </w:rPr>
      </w:pPr>
      <w:r w:rsidRPr="00E6732B">
        <w:rPr>
          <w:rFonts w:cstheme="majorBidi"/>
          <w:b/>
          <w:bCs/>
          <w:color w:val="222222"/>
          <w:sz w:val="21"/>
          <w:szCs w:val="21"/>
        </w:rPr>
        <w:t>References: </w:t>
      </w:r>
    </w:p>
    <w:p w14:paraId="7E061B77" w14:textId="77777777" w:rsidR="00E6732B" w:rsidRPr="00E6732B" w:rsidRDefault="00E6732B" w:rsidP="00E6732B">
      <w:pPr>
        <w:rPr>
          <w:rFonts w:cstheme="majorBidi"/>
          <w:b/>
          <w:bCs/>
          <w:color w:val="222222"/>
        </w:rPr>
      </w:pPr>
      <w:r w:rsidRPr="00E6732B">
        <w:rPr>
          <w:rFonts w:cstheme="majorBidi"/>
          <w:b/>
          <w:bCs/>
          <w:color w:val="222222"/>
          <w:sz w:val="21"/>
          <w:szCs w:val="21"/>
        </w:rPr>
        <w:t xml:space="preserve">[1] Marshall, B. M., D. J. </w:t>
      </w:r>
      <w:proofErr w:type="spellStart"/>
      <w:r w:rsidRPr="00E6732B">
        <w:rPr>
          <w:rFonts w:cstheme="majorBidi"/>
          <w:b/>
          <w:bCs/>
          <w:color w:val="222222"/>
          <w:sz w:val="21"/>
          <w:szCs w:val="21"/>
        </w:rPr>
        <w:t>Ochieng</w:t>
      </w:r>
      <w:proofErr w:type="spellEnd"/>
      <w:r w:rsidRPr="00E6732B">
        <w:rPr>
          <w:rFonts w:cstheme="majorBidi"/>
          <w:b/>
          <w:bCs/>
          <w:color w:val="222222"/>
          <w:sz w:val="21"/>
          <w:szCs w:val="21"/>
        </w:rPr>
        <w:t>, and S. B. Levy. 2009. Commensals: unappreciated reservoir of antibiotic resistance. Microbe 4:231-238.[5] </w:t>
      </w:r>
    </w:p>
    <w:p w14:paraId="4B589599" w14:textId="77777777" w:rsidR="00E6732B" w:rsidRPr="00E6732B" w:rsidRDefault="00E6732B" w:rsidP="00E6732B">
      <w:pPr>
        <w:rPr>
          <w:rFonts w:cstheme="majorBidi"/>
          <w:b/>
          <w:bCs/>
          <w:color w:val="222222"/>
        </w:rPr>
      </w:pPr>
      <w:r w:rsidRPr="00E6732B">
        <w:rPr>
          <w:rFonts w:cstheme="majorBidi"/>
          <w:b/>
          <w:bCs/>
          <w:color w:val="222222"/>
          <w:sz w:val="21"/>
          <w:szCs w:val="21"/>
        </w:rPr>
        <w:t xml:space="preserve">[2] </w:t>
      </w:r>
      <w:proofErr w:type="spellStart"/>
      <w:r w:rsidRPr="00E6732B">
        <w:rPr>
          <w:rFonts w:cstheme="majorBidi"/>
          <w:b/>
          <w:bCs/>
          <w:color w:val="222222"/>
          <w:sz w:val="21"/>
          <w:szCs w:val="21"/>
        </w:rPr>
        <w:t>Alekshun</w:t>
      </w:r>
      <w:proofErr w:type="spellEnd"/>
      <w:r w:rsidRPr="00E6732B">
        <w:rPr>
          <w:rFonts w:cstheme="majorBidi"/>
          <w:b/>
          <w:bCs/>
          <w:color w:val="222222"/>
          <w:sz w:val="21"/>
          <w:szCs w:val="21"/>
        </w:rPr>
        <w:t>, M. N., and S. B. Levy.Molecular mechanisms of antibacterial multidrug resistance. Cell 128:1037-1050. 2007 </w:t>
      </w:r>
    </w:p>
    <w:p w14:paraId="206FE1AE" w14:textId="77777777" w:rsidR="00E6732B" w:rsidRPr="00E6732B" w:rsidRDefault="00E6732B" w:rsidP="00E6732B">
      <w:pPr>
        <w:rPr>
          <w:rFonts w:cstheme="majorBidi"/>
          <w:b/>
          <w:bCs/>
          <w:color w:val="222222"/>
        </w:rPr>
      </w:pPr>
      <w:r w:rsidRPr="00E6732B">
        <w:rPr>
          <w:rFonts w:cstheme="majorBidi"/>
          <w:b/>
          <w:bCs/>
          <w:color w:val="222222"/>
          <w:sz w:val="21"/>
          <w:szCs w:val="21"/>
        </w:rPr>
        <w:t xml:space="preserve">[3] </w:t>
      </w:r>
      <w:proofErr w:type="spellStart"/>
      <w:r w:rsidRPr="00E6732B">
        <w:rPr>
          <w:rFonts w:cstheme="majorBidi"/>
          <w:b/>
          <w:bCs/>
          <w:color w:val="222222"/>
          <w:sz w:val="21"/>
          <w:szCs w:val="21"/>
        </w:rPr>
        <w:t>Lipsitch</w:t>
      </w:r>
      <w:proofErr w:type="spellEnd"/>
      <w:r w:rsidRPr="00E6732B">
        <w:rPr>
          <w:rFonts w:cstheme="majorBidi"/>
          <w:b/>
          <w:bCs/>
          <w:color w:val="222222"/>
          <w:sz w:val="21"/>
          <w:szCs w:val="21"/>
        </w:rPr>
        <w:t xml:space="preserve"> M. Fears growing over bacteria resistant to expired antibiotics. New York Times Sep.2012 </w:t>
      </w:r>
    </w:p>
    <w:p w14:paraId="7F31948B" w14:textId="77777777" w:rsidR="00E6732B" w:rsidRPr="00E6732B" w:rsidRDefault="00E6732B" w:rsidP="00E6732B">
      <w:pPr>
        <w:rPr>
          <w:rFonts w:cstheme="majorBidi"/>
          <w:b/>
          <w:bCs/>
          <w:color w:val="222222"/>
        </w:rPr>
      </w:pPr>
      <w:r w:rsidRPr="00E6732B">
        <w:rPr>
          <w:rFonts w:cstheme="majorBidi"/>
          <w:b/>
          <w:bCs/>
          <w:color w:val="222222"/>
          <w:sz w:val="21"/>
          <w:szCs w:val="21"/>
        </w:rPr>
        <w:t>[4] The Scientific World Journal, Volume (2013) , The Influence of Storage Temperature on Antibiotics, Article ID 573526. 2013 </w:t>
      </w:r>
    </w:p>
    <w:p w14:paraId="2C1C8B83" w14:textId="77777777" w:rsidR="00E6732B" w:rsidRPr="00D507D2" w:rsidRDefault="00E6732B" w:rsidP="00E6732B">
      <w:pPr>
        <w:rPr>
          <w:rFonts w:eastAsia="Times New Roman" w:cs="Times New Roman"/>
          <w:b/>
          <w:bCs/>
          <w:sz w:val="40"/>
          <w:szCs w:val="40"/>
        </w:rPr>
      </w:pPr>
    </w:p>
    <w:p w14:paraId="5E20F389" w14:textId="77777777" w:rsidR="00EA068E" w:rsidRPr="00E6732B" w:rsidRDefault="00EA068E" w:rsidP="00E6732B">
      <w:pPr>
        <w:rPr>
          <w:rFonts w:eastAsia="Times New Roman" w:cs="Times New Roman"/>
          <w:b/>
          <w:bCs/>
          <w:sz w:val="36"/>
          <w:szCs w:val="36"/>
        </w:rPr>
      </w:pPr>
    </w:p>
    <w:p w14:paraId="312BAB88" w14:textId="77777777" w:rsidR="00FE3893" w:rsidRPr="00AD0868" w:rsidRDefault="00D507D2" w:rsidP="00D507D2">
      <w:pPr>
        <w:rPr>
          <w:sz w:val="36"/>
          <w:szCs w:val="36"/>
        </w:rPr>
      </w:pPr>
      <w:r w:rsidRPr="00D507D2">
        <w:rPr>
          <w:noProof/>
          <w:sz w:val="36"/>
          <w:szCs w:val="36"/>
        </w:rPr>
        <w:drawing>
          <wp:inline distT="0" distB="0" distL="0" distR="0" wp14:anchorId="044AD314" wp14:editId="45906AE6">
            <wp:extent cx="5727700" cy="3756660"/>
            <wp:effectExtent l="0" t="0" r="12700" b="2540"/>
            <wp:docPr id="2"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3"/>
                    <pic:cNvPicPr>
                      <a:picLocks noGrp="1" noChangeAspect="1"/>
                    </pic:cNvPicPr>
                  </pic:nvPicPr>
                  <pic:blipFill rotWithShape="1">
                    <a:blip r:embed="rId4">
                      <a:extLst>
                        <a:ext uri="{28A0092B-C50C-407E-A947-70E740481C1C}">
                          <a14:useLocalDpi xmlns:a14="http://schemas.microsoft.com/office/drawing/2010/main" val="0"/>
                        </a:ext>
                      </a:extLst>
                    </a:blip>
                    <a:srcRect l="40294" t="42324" r="20869" b="22509"/>
                    <a:stretch/>
                  </pic:blipFill>
                  <pic:spPr>
                    <a:xfrm>
                      <a:off x="0" y="0"/>
                      <a:ext cx="5727700" cy="3756660"/>
                    </a:xfrm>
                    <a:prstGeom prst="rect">
                      <a:avLst/>
                    </a:prstGeom>
                  </pic:spPr>
                </pic:pic>
              </a:graphicData>
            </a:graphic>
          </wp:inline>
        </w:drawing>
      </w:r>
    </w:p>
    <w:sectPr w:rsidR="00FE3893" w:rsidRPr="00AD0868" w:rsidSect="008D2A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2B"/>
    <w:rsid w:val="004F5259"/>
    <w:rsid w:val="00565014"/>
    <w:rsid w:val="00574C05"/>
    <w:rsid w:val="005C4521"/>
    <w:rsid w:val="006C3D92"/>
    <w:rsid w:val="007A6F81"/>
    <w:rsid w:val="00815232"/>
    <w:rsid w:val="008D2ADE"/>
    <w:rsid w:val="00AD0868"/>
    <w:rsid w:val="00D507D2"/>
    <w:rsid w:val="00E6732B"/>
    <w:rsid w:val="00EA068E"/>
    <w:rsid w:val="00F823C7"/>
    <w:rsid w:val="00F853E9"/>
    <w:rsid w:val="00FE2AD7"/>
    <w:rsid w:val="00FE38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62B02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732B"/>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E67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0552">
      <w:bodyDiv w:val="1"/>
      <w:marLeft w:val="0"/>
      <w:marRight w:val="0"/>
      <w:marTop w:val="0"/>
      <w:marBottom w:val="0"/>
      <w:divBdr>
        <w:top w:val="none" w:sz="0" w:space="0" w:color="auto"/>
        <w:left w:val="none" w:sz="0" w:space="0" w:color="auto"/>
        <w:bottom w:val="none" w:sz="0" w:space="0" w:color="auto"/>
        <w:right w:val="none" w:sz="0" w:space="0" w:color="auto"/>
      </w:divBdr>
      <w:divsChild>
        <w:div w:id="1493832197">
          <w:marLeft w:val="0"/>
          <w:marRight w:val="0"/>
          <w:marTop w:val="0"/>
          <w:marBottom w:val="0"/>
          <w:divBdr>
            <w:top w:val="none" w:sz="0" w:space="0" w:color="auto"/>
            <w:left w:val="none" w:sz="0" w:space="0" w:color="auto"/>
            <w:bottom w:val="none" w:sz="0" w:space="0" w:color="auto"/>
            <w:right w:val="none" w:sz="0" w:space="0" w:color="auto"/>
          </w:divBdr>
        </w:div>
        <w:div w:id="134212328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ツķāώṱђαя</dc:creator>
  <cp:keywords/>
  <dc:description/>
  <cp:lastModifiedBy>ツķāώṱђαя</cp:lastModifiedBy>
  <cp:revision>2</cp:revision>
  <dcterms:created xsi:type="dcterms:W3CDTF">2017-12-02T08:33:00Z</dcterms:created>
  <dcterms:modified xsi:type="dcterms:W3CDTF">2017-12-02T08:33:00Z</dcterms:modified>
</cp:coreProperties>
</file>