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6007" w:rsidRPr="00375DDD" w:rsidRDefault="000B6007" w:rsidP="000B6007"/>
    <w:p w:rsidR="00BF38BB" w:rsidRPr="00375DDD" w:rsidRDefault="00A93E43" w:rsidP="00FF11C3">
      <w:pPr>
        <w:pStyle w:val="Heading3"/>
        <w:jc w:val="left"/>
        <w:rPr>
          <w:caps/>
          <w:sz w:val="24"/>
        </w:rPr>
      </w:pPr>
      <w:r>
        <w:t>Fluoroquinolone</w:t>
      </w:r>
      <w:r w:rsidR="00A96BCE">
        <w:t xml:space="preserve"> antibiotics</w:t>
      </w:r>
      <w:r>
        <w:t>: Tipping the risk-benefit scale</w:t>
      </w:r>
    </w:p>
    <w:p w:rsidR="00BF38BB" w:rsidRPr="00375DDD" w:rsidRDefault="00BF38BB" w:rsidP="000B6007">
      <w:pPr>
        <w:jc w:val="center"/>
      </w:pPr>
    </w:p>
    <w:p w:rsidR="00BF38BB" w:rsidRPr="00FF11C3" w:rsidRDefault="00D00247" w:rsidP="00FF11C3">
      <w:pPr>
        <w:spacing w:line="360" w:lineRule="auto"/>
      </w:pPr>
      <w:r w:rsidRPr="00FF11C3">
        <w:t>Monique R. Bidell, PharmD, BCPS</w:t>
      </w:r>
    </w:p>
    <w:p w:rsidR="00D00247" w:rsidRDefault="00D00247" w:rsidP="00FF11C3">
      <w:pPr>
        <w:pStyle w:val="PageNumber1"/>
        <w:spacing w:line="360" w:lineRule="auto"/>
        <w:jc w:val="left"/>
        <w:rPr>
          <w:rFonts w:ascii="Times New Roman" w:hAnsi="Times New Roman"/>
        </w:rPr>
      </w:pPr>
      <w:r>
        <w:rPr>
          <w:rFonts w:ascii="Times New Roman" w:hAnsi="Times New Roman"/>
        </w:rPr>
        <w:t>Albany College of Pharmacy a</w:t>
      </w:r>
      <w:r w:rsidR="00FF11C3">
        <w:rPr>
          <w:rFonts w:ascii="Times New Roman" w:hAnsi="Times New Roman"/>
        </w:rPr>
        <w:t>nd Health Sciences, Albany, NY, USA</w:t>
      </w:r>
    </w:p>
    <w:p w:rsidR="00BF38BB" w:rsidRPr="00375DDD" w:rsidRDefault="00BF38BB"/>
    <w:p w:rsidR="00BF38BB" w:rsidRPr="00375DDD" w:rsidRDefault="00BF38BB">
      <w:pPr>
        <w:rPr>
          <w:b/>
        </w:rPr>
      </w:pPr>
    </w:p>
    <w:p w:rsidR="00BF38BB" w:rsidRPr="00375DDD" w:rsidRDefault="00BF38BB" w:rsidP="00A66EFB">
      <w:pPr>
        <w:pStyle w:val="PageNumber1"/>
        <w:jc w:val="left"/>
        <w:rPr>
          <w:rFonts w:ascii="Times New Roman" w:hAnsi="Times New Roman"/>
          <w:b/>
        </w:rPr>
      </w:pPr>
      <w:r w:rsidRPr="00375DDD">
        <w:rPr>
          <w:rFonts w:ascii="Times New Roman" w:hAnsi="Times New Roman"/>
          <w:b/>
        </w:rPr>
        <w:t xml:space="preserve">ABSTRACT: </w:t>
      </w:r>
    </w:p>
    <w:p w:rsidR="00BF38BB" w:rsidRPr="00375DDD" w:rsidRDefault="00BF38BB" w:rsidP="00A66EFB">
      <w:pPr>
        <w:pStyle w:val="PageNumber1"/>
        <w:jc w:val="left"/>
        <w:rPr>
          <w:rFonts w:ascii="Times New Roman" w:hAnsi="Times New Roman"/>
        </w:rPr>
      </w:pPr>
    </w:p>
    <w:p w:rsidR="00A66EFB" w:rsidRDefault="00307EEC" w:rsidP="00A66EFB">
      <w:pPr>
        <w:pStyle w:val="PageNumber1"/>
        <w:jc w:val="left"/>
        <w:rPr>
          <w:szCs w:val="24"/>
        </w:rPr>
      </w:pPr>
      <w:r>
        <w:rPr>
          <w:szCs w:val="24"/>
        </w:rPr>
        <w:t>In the United States, fluoroquinolone antibiotics have gained increased attention due to safety concerns.</w:t>
      </w:r>
      <w:r w:rsidRPr="00307EEC">
        <w:rPr>
          <w:szCs w:val="24"/>
        </w:rPr>
        <w:t xml:space="preserve"> </w:t>
      </w:r>
      <w:r>
        <w:rPr>
          <w:szCs w:val="24"/>
        </w:rPr>
        <w:t>In November 2015, a j</w:t>
      </w:r>
      <w:r w:rsidRPr="006609BC">
        <w:rPr>
          <w:szCs w:val="24"/>
        </w:rPr>
        <w:t xml:space="preserve">oint </w:t>
      </w:r>
      <w:r>
        <w:rPr>
          <w:szCs w:val="24"/>
        </w:rPr>
        <w:t>m</w:t>
      </w:r>
      <w:r w:rsidRPr="006609BC">
        <w:rPr>
          <w:szCs w:val="24"/>
        </w:rPr>
        <w:t xml:space="preserve">eeting of the Antimicrobial Drugs Advisory Committee </w:t>
      </w:r>
      <w:r>
        <w:rPr>
          <w:szCs w:val="24"/>
        </w:rPr>
        <w:t>a</w:t>
      </w:r>
      <w:r w:rsidRPr="006609BC">
        <w:rPr>
          <w:szCs w:val="24"/>
        </w:rPr>
        <w:t xml:space="preserve">nd Drug Safety and Risk Management Advisory Committee </w:t>
      </w:r>
      <w:r>
        <w:rPr>
          <w:szCs w:val="24"/>
        </w:rPr>
        <w:t xml:space="preserve">was conducted to review </w:t>
      </w:r>
      <w:r w:rsidRPr="006609BC">
        <w:rPr>
          <w:szCs w:val="24"/>
        </w:rPr>
        <w:t>risks and benefits of the systemic fluoroquinolone antibacterial drugs for the treatment of acute bacterial sinusitis, acute bacterial exacerbation of chronic bronchitis in patients who have chronic obstructive pulmonary disease, and uncomplicated urinary tract infections</w:t>
      </w:r>
      <w:r w:rsidRPr="00066EBA">
        <w:rPr>
          <w:szCs w:val="24"/>
        </w:rPr>
        <w:t>.</w:t>
      </w:r>
      <w:r>
        <w:rPr>
          <w:szCs w:val="24"/>
        </w:rPr>
        <w:t xml:space="preserve"> </w:t>
      </w:r>
      <w:r w:rsidR="00A760FC">
        <w:rPr>
          <w:szCs w:val="24"/>
        </w:rPr>
        <w:t>Po</w:t>
      </w:r>
      <w:r w:rsidR="00A756B8">
        <w:rPr>
          <w:szCs w:val="24"/>
        </w:rPr>
        <w:t>tential</w:t>
      </w:r>
      <w:r w:rsidR="00A760FC">
        <w:rPr>
          <w:szCs w:val="24"/>
        </w:rPr>
        <w:t xml:space="preserve"> fluoroquinolone-associated adverse events</w:t>
      </w:r>
      <w:r w:rsidRPr="004120B8">
        <w:rPr>
          <w:szCs w:val="24"/>
        </w:rPr>
        <w:t xml:space="preserve">, both new and established, were a </w:t>
      </w:r>
      <w:r w:rsidRPr="00C45092">
        <w:rPr>
          <w:szCs w:val="24"/>
        </w:rPr>
        <w:t xml:space="preserve">major </w:t>
      </w:r>
      <w:r w:rsidRPr="00066EBA">
        <w:rPr>
          <w:szCs w:val="24"/>
        </w:rPr>
        <w:t>focus of th</w:t>
      </w:r>
      <w:r>
        <w:rPr>
          <w:szCs w:val="24"/>
        </w:rPr>
        <w:t>e</w:t>
      </w:r>
      <w:r w:rsidRPr="00066EBA">
        <w:rPr>
          <w:szCs w:val="24"/>
        </w:rPr>
        <w:t xml:space="preserve"> </w:t>
      </w:r>
      <w:r w:rsidRPr="00C45092">
        <w:rPr>
          <w:szCs w:val="24"/>
        </w:rPr>
        <w:t xml:space="preserve">Food and Drug Administration (FDA) advisory meeting </w:t>
      </w:r>
      <w:r w:rsidRPr="00066EBA">
        <w:rPr>
          <w:szCs w:val="24"/>
        </w:rPr>
        <w:t>discussion.</w:t>
      </w:r>
      <w:r>
        <w:rPr>
          <w:szCs w:val="24"/>
        </w:rPr>
        <w:t xml:space="preserve"> Given emerging evidence that multiple toxicities can occur concurrently</w:t>
      </w:r>
      <w:r w:rsidR="00A760FC">
        <w:rPr>
          <w:szCs w:val="24"/>
        </w:rPr>
        <w:t xml:space="preserve"> and result in </w:t>
      </w:r>
      <w:r w:rsidR="00A756B8">
        <w:rPr>
          <w:szCs w:val="24"/>
        </w:rPr>
        <w:t xml:space="preserve">potentially permanent disability, </w:t>
      </w:r>
      <w:r>
        <w:rPr>
          <w:szCs w:val="24"/>
        </w:rPr>
        <w:t xml:space="preserve">the condition “fluoroquinolone-associated disability,” or FQAD, was </w:t>
      </w:r>
      <w:r w:rsidR="00357100">
        <w:rPr>
          <w:szCs w:val="24"/>
        </w:rPr>
        <w:t>first described</w:t>
      </w:r>
      <w:r>
        <w:rPr>
          <w:szCs w:val="24"/>
        </w:rPr>
        <w:t>. In response</w:t>
      </w:r>
      <w:r w:rsidR="00A756B8">
        <w:rPr>
          <w:szCs w:val="24"/>
        </w:rPr>
        <w:t xml:space="preserve"> to this advisory meeting</w:t>
      </w:r>
      <w:r>
        <w:rPr>
          <w:szCs w:val="24"/>
        </w:rPr>
        <w:t xml:space="preserve">, the FDA released </w:t>
      </w:r>
      <w:r w:rsidR="00A760FC">
        <w:rPr>
          <w:szCs w:val="24"/>
        </w:rPr>
        <w:t xml:space="preserve">a </w:t>
      </w:r>
      <w:r w:rsidR="00C81F8F">
        <w:rPr>
          <w:szCs w:val="24"/>
        </w:rPr>
        <w:t>Drug Safety communication in</w:t>
      </w:r>
      <w:r w:rsidR="00A760FC">
        <w:rPr>
          <w:szCs w:val="24"/>
        </w:rPr>
        <w:t xml:space="preserve"> 2016 advising restricted use of fluoroquinolones for uncomplicated infections</w:t>
      </w:r>
      <w:r w:rsidR="00DE0A09">
        <w:rPr>
          <w:szCs w:val="24"/>
        </w:rPr>
        <w:t xml:space="preserve">, </w:t>
      </w:r>
      <w:r w:rsidR="00D00247">
        <w:rPr>
          <w:szCs w:val="24"/>
        </w:rPr>
        <w:t xml:space="preserve">as </w:t>
      </w:r>
      <w:r w:rsidR="00DE0A09">
        <w:rPr>
          <w:szCs w:val="24"/>
        </w:rPr>
        <w:t>risks generally outweigh benefits</w:t>
      </w:r>
      <w:r w:rsidR="00A760FC">
        <w:rPr>
          <w:szCs w:val="24"/>
        </w:rPr>
        <w:t xml:space="preserve">. </w:t>
      </w:r>
      <w:r>
        <w:rPr>
          <w:szCs w:val="24"/>
        </w:rPr>
        <w:t>This presentation reviews established fluoroquinolone-associated adverse events, including tendinopathy, neurotoxicity, and arrhythmias</w:t>
      </w:r>
      <w:r w:rsidR="00A760FC">
        <w:rPr>
          <w:szCs w:val="24"/>
        </w:rPr>
        <w:t>, as well as emerging toxicities</w:t>
      </w:r>
      <w:r>
        <w:rPr>
          <w:szCs w:val="24"/>
        </w:rPr>
        <w:t>.</w:t>
      </w:r>
      <w:r w:rsidR="00A760FC">
        <w:rPr>
          <w:szCs w:val="24"/>
        </w:rPr>
        <w:t xml:space="preserve"> Key findings from the FDA advisory meeting and FQAD data </w:t>
      </w:r>
      <w:proofErr w:type="gramStart"/>
      <w:r w:rsidR="00A756B8">
        <w:rPr>
          <w:szCs w:val="24"/>
        </w:rPr>
        <w:t>are also reviewed</w:t>
      </w:r>
      <w:proofErr w:type="gramEnd"/>
      <w:r w:rsidR="00DE0A09">
        <w:rPr>
          <w:szCs w:val="24"/>
        </w:rPr>
        <w:t>.</w:t>
      </w:r>
    </w:p>
    <w:p w:rsidR="00D829A1" w:rsidRDefault="00D829A1" w:rsidP="00A66EFB">
      <w:pPr>
        <w:pStyle w:val="PageNumber1"/>
        <w:jc w:val="left"/>
        <w:rPr>
          <w:szCs w:val="24"/>
        </w:rPr>
      </w:pPr>
    </w:p>
    <w:p w:rsidR="00D829A1" w:rsidRDefault="00D829A1" w:rsidP="00A66EFB">
      <w:pPr>
        <w:pStyle w:val="PageNumber1"/>
        <w:jc w:val="left"/>
        <w:rPr>
          <w:b/>
          <w:szCs w:val="24"/>
        </w:rPr>
      </w:pPr>
      <w:r w:rsidRPr="00D829A1">
        <w:rPr>
          <w:b/>
          <w:szCs w:val="24"/>
        </w:rPr>
        <w:t>Recent publications:</w:t>
      </w:r>
    </w:p>
    <w:p w:rsidR="00D829A1" w:rsidRDefault="00D829A1" w:rsidP="00D829A1">
      <w:pPr>
        <w:pStyle w:val="ListParagraph"/>
        <w:numPr>
          <w:ilvl w:val="0"/>
          <w:numId w:val="1"/>
        </w:numPr>
      </w:pPr>
      <w:r w:rsidRPr="0068565A">
        <w:t xml:space="preserve">Bidell MR, Lodise TP. Fluoroquinolone-Associated Tendinopathy: Does Levofloxacin Pose the Greatest </w:t>
      </w:r>
      <w:proofErr w:type="gramStart"/>
      <w:r w:rsidRPr="0068565A">
        <w:t>Risk?</w:t>
      </w:r>
      <w:proofErr w:type="gramEnd"/>
      <w:r w:rsidRPr="0068565A">
        <w:t xml:space="preserve"> </w:t>
      </w:r>
      <w:r w:rsidRPr="00CC238B">
        <w:t>Pharmacotherapy</w:t>
      </w:r>
      <w:r w:rsidRPr="0068565A">
        <w:rPr>
          <w:i/>
        </w:rPr>
        <w:t xml:space="preserve"> </w:t>
      </w:r>
      <w:r w:rsidRPr="0068565A">
        <w:t>2016</w:t>
      </w:r>
      <w:proofErr w:type="gramStart"/>
      <w:r w:rsidRPr="0068565A">
        <w:t>;36</w:t>
      </w:r>
      <w:proofErr w:type="gramEnd"/>
      <w:r w:rsidRPr="0068565A">
        <w:t>(6):679-93.</w:t>
      </w:r>
    </w:p>
    <w:p w:rsidR="00CC238B" w:rsidRDefault="00CC238B" w:rsidP="00D829A1">
      <w:pPr>
        <w:pStyle w:val="ListParagraph"/>
        <w:numPr>
          <w:ilvl w:val="0"/>
          <w:numId w:val="1"/>
        </w:numPr>
      </w:pPr>
      <w:r w:rsidRPr="00C00F3B">
        <w:t xml:space="preserve">Antimicrobial Drugs Advisory Committee and Drug Safety and Risk Management Advisory Committee. FDA Briefing Document. 2015. at </w:t>
      </w:r>
      <w:hyperlink r:id="rId5" w:history="1">
        <w:r w:rsidRPr="00C00F3B">
          <w:rPr>
            <w:rStyle w:val="Hyperlink"/>
          </w:rPr>
          <w:t>http://www.fda.gov/AdvisoryCommittees/CommitteesMeetingMaterials/Drugs/Anti-InfectiveDrugsAdvisoryCommittee/ucm467380.htm.</w:t>
        </w:r>
      </w:hyperlink>
      <w:r w:rsidRPr="00C00F3B">
        <w:t>)</w:t>
      </w:r>
      <w:r>
        <w:t xml:space="preserve"> Accessed 20 Mar 2016.</w:t>
      </w:r>
    </w:p>
    <w:p w:rsidR="00CC238B" w:rsidRDefault="00CC238B" w:rsidP="00D829A1">
      <w:pPr>
        <w:pStyle w:val="ListParagraph"/>
        <w:numPr>
          <w:ilvl w:val="0"/>
          <w:numId w:val="1"/>
        </w:numPr>
      </w:pPr>
      <w:proofErr w:type="spellStart"/>
      <w:r>
        <w:t>Mehrzad</w:t>
      </w:r>
      <w:proofErr w:type="spellEnd"/>
      <w:r>
        <w:t xml:space="preserve"> R, </w:t>
      </w:r>
      <w:proofErr w:type="spellStart"/>
      <w:r>
        <w:t>Barza</w:t>
      </w:r>
      <w:proofErr w:type="spellEnd"/>
      <w:r>
        <w:t xml:space="preserve"> M. Weighing the adverse effects of fluoroquinolones: A risk perspective. J </w:t>
      </w:r>
      <w:proofErr w:type="spellStart"/>
      <w:r>
        <w:t>Clin</w:t>
      </w:r>
      <w:proofErr w:type="spellEnd"/>
      <w:r>
        <w:t xml:space="preserve"> </w:t>
      </w:r>
      <w:proofErr w:type="spellStart"/>
      <w:r>
        <w:t>Pharmacol</w:t>
      </w:r>
      <w:proofErr w:type="spellEnd"/>
      <w:r>
        <w:t xml:space="preserve"> 2015</w:t>
      </w:r>
      <w:proofErr w:type="gramStart"/>
      <w:r>
        <w:t>;55</w:t>
      </w:r>
      <w:proofErr w:type="gramEnd"/>
      <w:r>
        <w:t>(11):1198-206.</w:t>
      </w:r>
    </w:p>
    <w:p w:rsidR="00CC238B" w:rsidRDefault="00CC238B" w:rsidP="00D829A1">
      <w:pPr>
        <w:pStyle w:val="ListParagraph"/>
        <w:numPr>
          <w:ilvl w:val="0"/>
          <w:numId w:val="1"/>
        </w:numPr>
      </w:pPr>
      <w:proofErr w:type="spellStart"/>
      <w:r>
        <w:t>Etminan</w:t>
      </w:r>
      <w:proofErr w:type="spellEnd"/>
      <w:r>
        <w:t xml:space="preserve"> M, </w:t>
      </w:r>
      <w:proofErr w:type="spellStart"/>
      <w:r>
        <w:t>Brophy</w:t>
      </w:r>
      <w:proofErr w:type="spellEnd"/>
      <w:r>
        <w:t xml:space="preserve"> JM, </w:t>
      </w:r>
      <w:proofErr w:type="spellStart"/>
      <w:r>
        <w:t>Samii</w:t>
      </w:r>
      <w:proofErr w:type="spellEnd"/>
      <w:r>
        <w:t xml:space="preserve"> A. Oral fluoroquinolone use and risk of peripheral neuropathy: a </w:t>
      </w:r>
      <w:proofErr w:type="spellStart"/>
      <w:r>
        <w:t>pharmacoepidemiologic</w:t>
      </w:r>
      <w:proofErr w:type="spellEnd"/>
      <w:r>
        <w:t xml:space="preserve"> study. Neurology 2014</w:t>
      </w:r>
      <w:proofErr w:type="gramStart"/>
      <w:r>
        <w:t>;83</w:t>
      </w:r>
      <w:proofErr w:type="gramEnd"/>
      <w:r>
        <w:t>(14):1261-3.</w:t>
      </w:r>
    </w:p>
    <w:p w:rsidR="00073D23" w:rsidRPr="0068565A" w:rsidRDefault="00073D23" w:rsidP="00073D23">
      <w:pPr>
        <w:pStyle w:val="ListParagraph"/>
        <w:numPr>
          <w:ilvl w:val="0"/>
          <w:numId w:val="1"/>
        </w:numPr>
      </w:pPr>
      <w:r w:rsidRPr="00C00F3B">
        <w:t xml:space="preserve">Owens RC, Jr., Ambrose PG. Antimicrobial safety: focus on fluoroquinolones. </w:t>
      </w:r>
      <w:proofErr w:type="spellStart"/>
      <w:r w:rsidRPr="00C00F3B">
        <w:t>Clin</w:t>
      </w:r>
      <w:proofErr w:type="spellEnd"/>
      <w:r w:rsidRPr="00C00F3B">
        <w:t xml:space="preserve"> Infect Dis 2005;41 </w:t>
      </w:r>
      <w:proofErr w:type="spellStart"/>
      <w:r w:rsidRPr="00C00F3B">
        <w:t>Suppl</w:t>
      </w:r>
      <w:proofErr w:type="spellEnd"/>
      <w:r w:rsidRPr="00C00F3B">
        <w:t xml:space="preserve"> 2:S144-57.</w:t>
      </w:r>
      <w:bookmarkStart w:id="0" w:name="_GoBack"/>
      <w:bookmarkEnd w:id="0"/>
    </w:p>
    <w:p w:rsidR="00D829A1" w:rsidRDefault="00D829A1" w:rsidP="00A66EFB">
      <w:pPr>
        <w:pStyle w:val="PageNumber1"/>
        <w:jc w:val="left"/>
        <w:rPr>
          <w:rFonts w:ascii="Times New Roman" w:hAnsi="Times New Roman"/>
          <w:b/>
        </w:rPr>
      </w:pPr>
    </w:p>
    <w:p w:rsidR="00307EEC" w:rsidRPr="00375DDD" w:rsidRDefault="00307EEC" w:rsidP="00A66EFB">
      <w:pPr>
        <w:pStyle w:val="PageNumber1"/>
        <w:jc w:val="left"/>
        <w:rPr>
          <w:rFonts w:ascii="Times New Roman" w:hAnsi="Times New Roman"/>
          <w:b/>
        </w:rPr>
      </w:pPr>
    </w:p>
    <w:p w:rsidR="00357100" w:rsidRDefault="00357100" w:rsidP="00A66EFB">
      <w:pPr>
        <w:pStyle w:val="PageNumber1"/>
        <w:jc w:val="left"/>
        <w:rPr>
          <w:rFonts w:ascii="Times New Roman" w:hAnsi="Times New Roman"/>
          <w:b/>
        </w:rPr>
      </w:pPr>
    </w:p>
    <w:p w:rsidR="00BF38BB" w:rsidRDefault="00BF38BB" w:rsidP="00A66EFB">
      <w:pPr>
        <w:pStyle w:val="PageNumber1"/>
        <w:jc w:val="left"/>
        <w:rPr>
          <w:rFonts w:ascii="Times New Roman" w:hAnsi="Times New Roman"/>
          <w:b/>
        </w:rPr>
      </w:pPr>
      <w:r w:rsidRPr="00375DDD">
        <w:rPr>
          <w:rFonts w:ascii="Times New Roman" w:hAnsi="Times New Roman"/>
          <w:b/>
        </w:rPr>
        <w:t xml:space="preserve">BIOGRAPHY: </w:t>
      </w:r>
    </w:p>
    <w:p w:rsidR="00B378A2" w:rsidRPr="00375DDD" w:rsidRDefault="00B378A2" w:rsidP="00A66EFB">
      <w:pPr>
        <w:pStyle w:val="PageNumber1"/>
        <w:jc w:val="left"/>
        <w:rPr>
          <w:rFonts w:ascii="Times New Roman" w:hAnsi="Times New Roman"/>
          <w:b/>
        </w:rPr>
      </w:pPr>
      <w:r w:rsidRPr="00B378A2">
        <w:rPr>
          <w:rFonts w:ascii="Times New Roman" w:hAnsi="Times New Roman"/>
          <w:b/>
          <w:noProof/>
          <w:lang w:eastAsia="en-US"/>
        </w:rPr>
        <w:drawing>
          <wp:inline distT="0" distB="0" distL="0" distR="0">
            <wp:extent cx="1052542" cy="1052542"/>
            <wp:effectExtent l="0" t="0" r="0" b="0"/>
            <wp:docPr id="1" name="Picture 1" descr="E:\517067\Pictures\ACP 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517067\Pictures\ACP 201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60014" cy="1060014"/>
                    </a:xfrm>
                    <a:prstGeom prst="rect">
                      <a:avLst/>
                    </a:prstGeom>
                    <a:noFill/>
                    <a:ln>
                      <a:noFill/>
                    </a:ln>
                  </pic:spPr>
                </pic:pic>
              </a:graphicData>
            </a:graphic>
          </wp:inline>
        </w:drawing>
      </w:r>
    </w:p>
    <w:p w:rsidR="00BF38BB" w:rsidRDefault="00BF38BB" w:rsidP="00A66EFB">
      <w:pPr>
        <w:pStyle w:val="PageNumber1"/>
        <w:jc w:val="left"/>
        <w:rPr>
          <w:rFonts w:ascii="Times New Roman" w:hAnsi="Times New Roman"/>
          <w:b/>
        </w:rPr>
      </w:pPr>
    </w:p>
    <w:p w:rsidR="00DE0A09" w:rsidRPr="00DE0A09" w:rsidRDefault="008B16DA" w:rsidP="00DE0A09">
      <w:r>
        <w:t>Monique Bidell is currently an Assistant Professor of Pharmacy Practice at Albany College of Pharmacy and Health Sciences in Albany, NY. She maintains an active clinical practice site at St. Peter’s Hospital in Albany, NY</w:t>
      </w:r>
      <w:r w:rsidR="00C07FE8">
        <w:t>, where she mentors pharmacy students and residents</w:t>
      </w:r>
      <w:r>
        <w:t xml:space="preserve">. </w:t>
      </w:r>
      <w:r w:rsidR="00DE0A09">
        <w:t xml:space="preserve">Dr. Bidell </w:t>
      </w:r>
      <w:r>
        <w:t>earned</w:t>
      </w:r>
      <w:r w:rsidR="00DE0A09">
        <w:t xml:space="preserve"> her </w:t>
      </w:r>
      <w:r>
        <w:t>Doctor of Pharmacy (</w:t>
      </w:r>
      <w:r w:rsidR="00DE0A09">
        <w:t>PharmD</w:t>
      </w:r>
      <w:r>
        <w:t>) degree</w:t>
      </w:r>
      <w:r w:rsidR="00DE0A09">
        <w:t xml:space="preserve"> </w:t>
      </w:r>
      <w:r>
        <w:t>from</w:t>
      </w:r>
      <w:r w:rsidR="00DE0A09">
        <w:t xml:space="preserve"> Northeastern University in Boston, MA.  She </w:t>
      </w:r>
      <w:r>
        <w:t xml:space="preserve">completed a year of postdoctoral residency training in Pharmacy Practice </w:t>
      </w:r>
      <w:r w:rsidR="00DE0A09">
        <w:t>at Beth Israel Deaconess Medical Center in Boston, MA</w:t>
      </w:r>
      <w:r w:rsidR="00C07FE8">
        <w:t xml:space="preserve">, followed </w:t>
      </w:r>
      <w:proofErr w:type="gramStart"/>
      <w:r w:rsidR="00C07FE8">
        <w:t xml:space="preserve">by </w:t>
      </w:r>
      <w:r>
        <w:t xml:space="preserve">a specialty residency in </w:t>
      </w:r>
      <w:r w:rsidR="00DE0A09">
        <w:t xml:space="preserve">Infectious Diseases at the University of Chicago </w:t>
      </w:r>
      <w:r>
        <w:t>Medicine</w:t>
      </w:r>
      <w:r w:rsidR="00DE0A09">
        <w:t xml:space="preserve"> in Chicago, IL</w:t>
      </w:r>
      <w:proofErr w:type="gramEnd"/>
      <w:r w:rsidR="00DE0A09">
        <w:t xml:space="preserve">. She is a Board Certified Pharmacotherapy Specialist. </w:t>
      </w:r>
    </w:p>
    <w:p w:rsidR="00A66EFB" w:rsidRPr="00375DDD" w:rsidRDefault="00A66EFB" w:rsidP="00A66EFB">
      <w:pPr>
        <w:pStyle w:val="PageNumber1"/>
        <w:jc w:val="left"/>
        <w:rPr>
          <w:rFonts w:ascii="Times New Roman" w:hAnsi="Times New Roman"/>
          <w:b/>
        </w:rPr>
      </w:pPr>
    </w:p>
    <w:p w:rsidR="00D00247" w:rsidRDefault="00D00247" w:rsidP="00A66EFB">
      <w:pPr>
        <w:pStyle w:val="PageNumber1"/>
        <w:jc w:val="left"/>
        <w:rPr>
          <w:rFonts w:ascii="Times New Roman" w:hAnsi="Times New Roman"/>
          <w:b/>
        </w:rPr>
      </w:pPr>
    </w:p>
    <w:p w:rsidR="00FF11C3" w:rsidRPr="00375DDD" w:rsidRDefault="00FF11C3" w:rsidP="00FF11C3">
      <w:pPr>
        <w:pStyle w:val="PageNumber1"/>
        <w:spacing w:line="360" w:lineRule="auto"/>
        <w:jc w:val="left"/>
        <w:rPr>
          <w:rFonts w:ascii="Times New Roman" w:hAnsi="Times New Roman"/>
        </w:rPr>
      </w:pPr>
      <w:r>
        <w:rPr>
          <w:rFonts w:ascii="Times New Roman" w:hAnsi="Times New Roman"/>
        </w:rPr>
        <w:t>Email: Monique.bidell@acphs.edu</w:t>
      </w:r>
    </w:p>
    <w:p w:rsidR="00BF38BB" w:rsidRPr="00375DDD" w:rsidRDefault="00BF38BB" w:rsidP="00BF38BB">
      <w:pPr>
        <w:pStyle w:val="PageNumber1"/>
        <w:jc w:val="left"/>
        <w:rPr>
          <w:rFonts w:ascii="Times New Roman" w:hAnsi="Times New Roman"/>
        </w:rPr>
      </w:pPr>
    </w:p>
    <w:sectPr w:rsidR="00BF38BB" w:rsidRPr="00375DDD" w:rsidSect="00DF4F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E0002AFF" w:usb1="00007843"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82700F"/>
    <w:multiLevelType w:val="hybridMultilevel"/>
    <w:tmpl w:val="5832D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8BB"/>
    <w:rsid w:val="00073D23"/>
    <w:rsid w:val="000B6007"/>
    <w:rsid w:val="00307EEC"/>
    <w:rsid w:val="00357100"/>
    <w:rsid w:val="00375DDD"/>
    <w:rsid w:val="003A3C75"/>
    <w:rsid w:val="0048709B"/>
    <w:rsid w:val="00576F05"/>
    <w:rsid w:val="005C5B5A"/>
    <w:rsid w:val="0064037E"/>
    <w:rsid w:val="0068565A"/>
    <w:rsid w:val="006C79EF"/>
    <w:rsid w:val="00706849"/>
    <w:rsid w:val="00791953"/>
    <w:rsid w:val="007C49D6"/>
    <w:rsid w:val="008B16DA"/>
    <w:rsid w:val="00A66EFB"/>
    <w:rsid w:val="00A756B8"/>
    <w:rsid w:val="00A760FC"/>
    <w:rsid w:val="00A93E43"/>
    <w:rsid w:val="00A96BCE"/>
    <w:rsid w:val="00AB2DFD"/>
    <w:rsid w:val="00B378A2"/>
    <w:rsid w:val="00BB70E2"/>
    <w:rsid w:val="00BF38BB"/>
    <w:rsid w:val="00C07FE8"/>
    <w:rsid w:val="00C467D1"/>
    <w:rsid w:val="00C81F8F"/>
    <w:rsid w:val="00CC238B"/>
    <w:rsid w:val="00D00247"/>
    <w:rsid w:val="00D829A1"/>
    <w:rsid w:val="00DE0A09"/>
    <w:rsid w:val="00DE5829"/>
    <w:rsid w:val="00DF4F16"/>
    <w:rsid w:val="00F46992"/>
    <w:rsid w:val="00F92F35"/>
    <w:rsid w:val="00FF11C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00DE0"/>
  <w15:docId w15:val="{9E356B8D-FB62-466D-98F1-09E1B3624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38BB"/>
    <w:pPr>
      <w:suppressAutoHyphens/>
      <w:spacing w:after="0" w:line="240" w:lineRule="auto"/>
    </w:pPr>
    <w:rPr>
      <w:rFonts w:ascii="Times New Roman" w:eastAsia="Times New Roman" w:hAnsi="Times New Roman" w:cs="Times New Roman"/>
      <w:sz w:val="24"/>
      <w:szCs w:val="20"/>
      <w:lang w:val="en-US" w:eastAsia="ar-SA"/>
    </w:rPr>
  </w:style>
  <w:style w:type="paragraph" w:styleId="Heading3">
    <w:name w:val="heading 3"/>
    <w:basedOn w:val="Normal"/>
    <w:next w:val="Normal"/>
    <w:link w:val="Heading3Char"/>
    <w:qFormat/>
    <w:rsid w:val="00BF38BB"/>
    <w:pPr>
      <w:keepNext/>
      <w:tabs>
        <w:tab w:val="num" w:pos="0"/>
      </w:tabs>
      <w:jc w:val="center"/>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F38BB"/>
    <w:rPr>
      <w:rFonts w:ascii="Times New Roman" w:eastAsia="Times New Roman" w:hAnsi="Times New Roman" w:cs="Times New Roman"/>
      <w:b/>
      <w:sz w:val="28"/>
      <w:szCs w:val="20"/>
      <w:lang w:val="en-US" w:eastAsia="ar-SA"/>
    </w:rPr>
  </w:style>
  <w:style w:type="paragraph" w:customStyle="1" w:styleId="PageNumber1">
    <w:name w:val="Page Number1"/>
    <w:basedOn w:val="Normal"/>
    <w:rsid w:val="00BF38BB"/>
    <w:pPr>
      <w:jc w:val="center"/>
    </w:pPr>
    <w:rPr>
      <w:rFonts w:ascii="Times" w:hAnsi="Times"/>
    </w:rPr>
  </w:style>
  <w:style w:type="character" w:styleId="Hyperlink">
    <w:name w:val="Hyperlink"/>
    <w:basedOn w:val="DefaultParagraphFont"/>
    <w:uiPriority w:val="99"/>
    <w:unhideWhenUsed/>
    <w:rsid w:val="00BF38BB"/>
    <w:rPr>
      <w:color w:val="0000FF" w:themeColor="hyperlink"/>
      <w:u w:val="single"/>
    </w:rPr>
  </w:style>
  <w:style w:type="character" w:styleId="FollowedHyperlink">
    <w:name w:val="FollowedHyperlink"/>
    <w:basedOn w:val="DefaultParagraphFont"/>
    <w:uiPriority w:val="99"/>
    <w:semiHidden/>
    <w:unhideWhenUsed/>
    <w:rsid w:val="00BF38BB"/>
    <w:rPr>
      <w:color w:val="800080" w:themeColor="followedHyperlink"/>
      <w:u w:val="single"/>
    </w:rPr>
  </w:style>
  <w:style w:type="paragraph" w:styleId="ListParagraph">
    <w:name w:val="List Paragraph"/>
    <w:basedOn w:val="Normal"/>
    <w:uiPriority w:val="34"/>
    <w:qFormat/>
    <w:rsid w:val="00D829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fda.gov/AdvisoryCommittees/CommitteesMeetingMaterials/Drugs/Anti-InfectiveDrugsAdvisoryCommittee/ucm467380.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482</Words>
  <Characters>2749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Bidell, Monique</cp:lastModifiedBy>
  <cp:revision>10</cp:revision>
  <dcterms:created xsi:type="dcterms:W3CDTF">2017-10-22T17:01:00Z</dcterms:created>
  <dcterms:modified xsi:type="dcterms:W3CDTF">2017-10-22T17:23:00Z</dcterms:modified>
</cp:coreProperties>
</file>