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AA8627" w14:textId="77777777" w:rsidR="00AE3E37" w:rsidRDefault="00FF09A7" w:rsidP="00494130">
      <w:pPr>
        <w:pStyle w:val="Heading1"/>
        <w:spacing w:before="170"/>
        <w:ind w:left="0"/>
      </w:pPr>
      <w:r>
        <w:rPr>
          <w:color w:val="337AB7"/>
        </w:rPr>
        <w:t>Point of Care Testing in Community Pharmacies – a Review of Positive Experiences</w:t>
      </w:r>
    </w:p>
    <w:p w14:paraId="70E9865E" w14:textId="77777777" w:rsidR="005973B9" w:rsidRDefault="00FF09A7" w:rsidP="005973B9">
      <w:pPr>
        <w:pStyle w:val="BodyText"/>
        <w:spacing w:before="73" w:line="198" w:lineRule="exact"/>
        <w:ind w:left="100" w:right="5987"/>
        <w:rPr>
          <w:rFonts w:ascii="Arial"/>
        </w:rPr>
      </w:pPr>
      <w:r>
        <w:rPr>
          <w:rFonts w:ascii="Arial"/>
        </w:rPr>
        <w:t>Allison M, Dering-Anderson, PharmD, RP, FAPhA, University of Nebraska College of Pharmacy, USA</w:t>
      </w:r>
    </w:p>
    <w:p w14:paraId="49D4BC2F" w14:textId="77777777" w:rsidR="00AE3E37" w:rsidRDefault="00AE3E37">
      <w:pPr>
        <w:pStyle w:val="BodyText"/>
        <w:rPr>
          <w:rFonts w:ascii="Arial"/>
          <w:sz w:val="20"/>
        </w:rPr>
      </w:pPr>
    </w:p>
    <w:p w14:paraId="0144309E" w14:textId="77777777" w:rsidR="00AE3E37" w:rsidRDefault="00AE3E37">
      <w:pPr>
        <w:pStyle w:val="BodyText"/>
        <w:spacing w:before="3"/>
        <w:rPr>
          <w:rFonts w:ascii="Arial"/>
          <w:sz w:val="21"/>
        </w:rPr>
      </w:pPr>
    </w:p>
    <w:p w14:paraId="3009D33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3F80F0B"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E65CADC" w14:textId="77777777" w:rsidR="00AE3E37" w:rsidRPr="00EC324E" w:rsidRDefault="001D6B30" w:rsidP="00EC324E">
      <w:pPr>
        <w:pStyle w:val="BodyText"/>
        <w:spacing w:before="90" w:line="280" w:lineRule="auto"/>
        <w:ind w:left="100"/>
        <w:jc w:val="both"/>
      </w:pPr>
      <w:r w:rsidRPr="001D6B30">
        <w:rPr>
          <w:u w:val="double"/>
        </w:rPr>
        <w:t>Introduction:</w:t>
      </w:r>
      <w:r>
        <w:t xml:space="preserve"> </w:t>
      </w:r>
      <w:r w:rsidR="00FF09A7">
        <w:t>Patients in the 21</w:t>
      </w:r>
      <w:r w:rsidR="00FF09A7" w:rsidRPr="00FF09A7">
        <w:rPr>
          <w:vertAlign w:val="superscript"/>
        </w:rPr>
        <w:t>st</w:t>
      </w:r>
      <w:r w:rsidR="00FF09A7">
        <w:t xml:space="preserve"> Century have expectations for access and convenience that expand far beyond ordering delivery foods or movie tickets with a smart phone.  Patients also want access to information and treatment at a convenient location and a time that works for them.  Communi</w:t>
      </w:r>
      <w:r>
        <w:t>ty pharmacists</w:t>
      </w:r>
      <w:r w:rsidR="00FF09A7">
        <w:t xml:space="preserve"> are well positioned to provide rapid diagnostic testing and chronic disease screening at multiple locations with hours that far exceed normal office hours for primary care providers.  Researchers from the University of Nebraska College of Pharmacy and Ferris State University College of Pharmacy have studied these services to determine professional time requirements, patient satisfaction, patient care, and the perception of public health and laboratory experts.  </w:t>
      </w:r>
      <w:r w:rsidR="00EC324E" w:rsidRPr="00EC324E">
        <w:rPr>
          <w:u w:val="double"/>
        </w:rPr>
        <w:t>Methodology:</w:t>
      </w:r>
      <w:r w:rsidR="00EC324E">
        <w:t xml:space="preserve"> Several research methods were combined to answer the wide variety of questions surrounding this new community-pharmacy based service including:  Time and Motion Studies, Facilitated Focus Group Discussions and Patient / Customer surveys. </w:t>
      </w:r>
      <w:r w:rsidR="00EC324E" w:rsidRPr="00EC324E">
        <w:rPr>
          <w:u w:val="double"/>
        </w:rPr>
        <w:t>Results:</w:t>
      </w:r>
      <w:r w:rsidR="00EC324E">
        <w:t xml:space="preserve"> </w:t>
      </w:r>
      <w:r w:rsidR="00FF09A7">
        <w:t xml:space="preserve">Using time-motion studies professional time required for these services is the equivalent of the time spent in providing routine vaccines.  </w:t>
      </w:r>
      <w:r w:rsidR="00EC324E">
        <w:t>Using surveys outside of the providing pharmacy, patient satisfaction was found to be</w:t>
      </w:r>
      <w:r w:rsidR="00FF09A7">
        <w:t xml:space="preserve"> over 90%.  </w:t>
      </w:r>
      <w:r w:rsidR="00EC324E">
        <w:t xml:space="preserve">In a series of </w:t>
      </w:r>
      <w:proofErr w:type="spellStart"/>
      <w:r w:rsidR="00EC324E">
        <w:t>facilitiated</w:t>
      </w:r>
      <w:proofErr w:type="spellEnd"/>
      <w:r w:rsidR="00EC324E">
        <w:t xml:space="preserve"> focus group discussions; p</w:t>
      </w:r>
      <w:r w:rsidR="00FF09A7">
        <w:t>ublic Health officials applaud</w:t>
      </w:r>
      <w:r w:rsidR="00EC324E">
        <w:t>ed</w:t>
      </w:r>
      <w:r w:rsidR="00FF09A7">
        <w:t xml:space="preserve"> the collaborative nature of the projects and </w:t>
      </w:r>
      <w:proofErr w:type="spellStart"/>
      <w:r w:rsidR="00EC324E">
        <w:t>cllinical</w:t>
      </w:r>
      <w:proofErr w:type="spellEnd"/>
      <w:r w:rsidR="00EC324E">
        <w:t xml:space="preserve"> l</w:t>
      </w:r>
      <w:r w:rsidR="00FF09A7">
        <w:t>aboratory experts confirm</w:t>
      </w:r>
      <w:r w:rsidR="00EC324E">
        <w:t>ed</w:t>
      </w:r>
      <w:r w:rsidR="00FF09A7">
        <w:t xml:space="preserve"> that pharmacists and pharmacies provide high quality services.</w:t>
      </w:r>
      <w:r w:rsidR="00EC324E">
        <w:t xml:space="preserve">  </w:t>
      </w:r>
      <w:r w:rsidR="00EC324E">
        <w:rPr>
          <w:u w:val="double"/>
        </w:rPr>
        <w:t>Conclusions &amp; Practice Impact</w:t>
      </w:r>
      <w:r w:rsidR="00EC324E" w:rsidRPr="00EC324E">
        <w:t xml:space="preserve">:    </w:t>
      </w:r>
      <w:r w:rsidR="00EC324E">
        <w:t>Pharmacists, especially community pharmacy based pharmacists, have an opportunity to provide Point of Care Testing services that are recognized as a value by patients.  These services can be provid</w:t>
      </w:r>
      <w:r w:rsidR="00867B75">
        <w:t>ed in a time efficient and high-</w:t>
      </w:r>
      <w:r w:rsidR="00EC324E">
        <w:t>quality manner and will impact public health, as well as the individual patients.</w:t>
      </w:r>
    </w:p>
    <w:p w14:paraId="0224426A" w14:textId="77777777" w:rsidR="005973B9" w:rsidRPr="00EC324E" w:rsidRDefault="00A9710C" w:rsidP="00EC324E">
      <w:pPr>
        <w:pStyle w:val="Heading3"/>
        <w:spacing w:before="74"/>
      </w:pPr>
      <w:r>
        <w:rPr>
          <w:b w:val="0"/>
        </w:rPr>
        <w:br w:type="column"/>
      </w:r>
      <w:r w:rsidR="005973B9">
        <w:rPr>
          <w:color w:val="BF5A14"/>
        </w:rPr>
        <w:lastRenderedPageBreak/>
        <w:t>Recent Publications (minimum 5)</w:t>
      </w:r>
    </w:p>
    <w:p w14:paraId="44148844" w14:textId="77777777" w:rsidR="00AE3E37" w:rsidRDefault="00C61C4D" w:rsidP="00C61C4D">
      <w:pPr>
        <w:pStyle w:val="ListParagraph"/>
        <w:numPr>
          <w:ilvl w:val="0"/>
          <w:numId w:val="4"/>
        </w:numPr>
        <w:tabs>
          <w:tab w:val="left" w:pos="384"/>
        </w:tabs>
        <w:ind w:right="117"/>
      </w:pPr>
      <w:r>
        <w:t xml:space="preserve"> Gubbins, PO; Klepser, ME; Dering-Anderson, AM; et.al.  Point-of-care testing for infectious diseases: opportunities, barriers, and considerations in community pharmacy.  J Am Pharm </w:t>
      </w:r>
      <w:proofErr w:type="spellStart"/>
      <w:r>
        <w:t>Assoc</w:t>
      </w:r>
      <w:proofErr w:type="spellEnd"/>
      <w:r>
        <w:t xml:space="preserve">: 2014 Mar-Apr, 54(2): 163-71.  </w:t>
      </w:r>
      <w:proofErr w:type="spellStart"/>
      <w:r>
        <w:t>doi</w:t>
      </w:r>
      <w:proofErr w:type="spellEnd"/>
      <w:r>
        <w:t xml:space="preserve"> 10.1331/JAPhA.2014.13167.</w:t>
      </w:r>
    </w:p>
    <w:p w14:paraId="62BC758A" w14:textId="77777777" w:rsidR="00C61C4D" w:rsidRDefault="00C61C4D" w:rsidP="00C61C4D">
      <w:pPr>
        <w:pStyle w:val="ListParagraph"/>
        <w:numPr>
          <w:ilvl w:val="0"/>
          <w:numId w:val="4"/>
        </w:numPr>
        <w:tabs>
          <w:tab w:val="left" w:pos="384"/>
        </w:tabs>
        <w:ind w:right="117"/>
      </w:pPr>
      <w:r>
        <w:t xml:space="preserve">Corn, CE; Klepser, DG; Dering-Anderson, AM; et.al. Observation of a Pharmacist-Conducted Group </w:t>
      </w:r>
      <w:proofErr w:type="gramStart"/>
      <w:r>
        <w:t>A</w:t>
      </w:r>
      <w:proofErr w:type="gramEnd"/>
      <w:r>
        <w:t xml:space="preserve"> Streptococcal Pharyngitis Point-of-Care Test: A Time and Motion Study.  Journal of Pharmacy Practice; 28 May 2017; </w:t>
      </w:r>
      <w:proofErr w:type="spellStart"/>
      <w:r>
        <w:t>doi</w:t>
      </w:r>
      <w:proofErr w:type="spellEnd"/>
      <w:r>
        <w:t xml:space="preserve"> 10.1177/0897190017710518.</w:t>
      </w:r>
    </w:p>
    <w:p w14:paraId="72F621FF" w14:textId="77777777" w:rsidR="00C61C4D" w:rsidRDefault="003D5F30" w:rsidP="00C61C4D">
      <w:pPr>
        <w:pStyle w:val="ListParagraph"/>
        <w:numPr>
          <w:ilvl w:val="0"/>
          <w:numId w:val="4"/>
        </w:numPr>
        <w:tabs>
          <w:tab w:val="left" w:pos="384"/>
        </w:tabs>
        <w:ind w:right="117"/>
      </w:pPr>
      <w:r>
        <w:t xml:space="preserve">Akinwale, TP; Adams, AJ; Dering-Anderson, AM; Klepser, ME; Pharmacy-based point-of-care testing for infectious diseases:  Considerations for the pharmacy curriculum; Currents in Pharmacy Teaching and Learning; Vol7, Issue 1, Jan-Feb 2015; 131-136; </w:t>
      </w:r>
      <w:proofErr w:type="spellStart"/>
      <w:r>
        <w:t>doi</w:t>
      </w:r>
      <w:proofErr w:type="spellEnd"/>
      <w:r>
        <w:t xml:space="preserve"> 10.1016/j.cptl.2014.09.005</w:t>
      </w:r>
    </w:p>
    <w:p w14:paraId="67831EEF" w14:textId="77777777" w:rsidR="003D5F30" w:rsidRDefault="003D5F30" w:rsidP="00C61C4D">
      <w:pPr>
        <w:pStyle w:val="ListParagraph"/>
        <w:numPr>
          <w:ilvl w:val="0"/>
          <w:numId w:val="4"/>
        </w:numPr>
        <w:tabs>
          <w:tab w:val="left" w:pos="384"/>
        </w:tabs>
        <w:ind w:right="117"/>
      </w:pPr>
      <w:r>
        <w:t xml:space="preserve">Klepser, DG; Klepser, ME; Dering-Anderson, AM; et.al. Community pharmacist-physician collaborative streptococcal pharyngitis management program; J AM Pharm </w:t>
      </w:r>
      <w:proofErr w:type="spellStart"/>
      <w:r>
        <w:t>Assoc</w:t>
      </w:r>
      <w:proofErr w:type="spellEnd"/>
      <w:r>
        <w:t>: 2016; 56(3): 323-329</w:t>
      </w:r>
    </w:p>
    <w:p w14:paraId="2C4694DC" w14:textId="77777777" w:rsidR="003D5F30" w:rsidRPr="008756E6" w:rsidRDefault="003D5F30" w:rsidP="00C61C4D">
      <w:pPr>
        <w:pStyle w:val="ListParagraph"/>
        <w:numPr>
          <w:ilvl w:val="0"/>
          <w:numId w:val="4"/>
        </w:numPr>
        <w:tabs>
          <w:tab w:val="left" w:pos="384"/>
        </w:tabs>
        <w:ind w:right="117"/>
      </w:pPr>
      <w:proofErr w:type="spellStart"/>
      <w:r>
        <w:t>Kelpser</w:t>
      </w:r>
      <w:proofErr w:type="spellEnd"/>
      <w:r>
        <w:t xml:space="preserve">, ME; Klepser, DG; Dering-Anderson, AM; et.al.  Effectiveness of a Pharmacist-Physician Collaborative Program to Manage Influenza-like illness; J Am Pharm </w:t>
      </w:r>
      <w:proofErr w:type="spellStart"/>
      <w:r>
        <w:t>Assoc</w:t>
      </w:r>
      <w:proofErr w:type="spellEnd"/>
      <w:r>
        <w:t xml:space="preserve"> 2016; 56: 14-21</w:t>
      </w:r>
    </w:p>
    <w:p w14:paraId="2AC9943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246CE3B" w14:textId="77777777" w:rsidR="00AE3E37" w:rsidRDefault="00AE3E37">
      <w:pPr>
        <w:pStyle w:val="BodyText"/>
        <w:rPr>
          <w:rFonts w:ascii="Calibri"/>
          <w:sz w:val="20"/>
        </w:rPr>
      </w:pPr>
    </w:p>
    <w:p w14:paraId="41626A4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4DC57AA" wp14:editId="341BE7B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793EC26" w14:textId="77777777" w:rsidR="00AE3E37" w:rsidRDefault="008756E6" w:rsidP="00404E5B">
      <w:pPr>
        <w:spacing w:before="92"/>
        <w:ind w:right="4234"/>
        <w:rPr>
          <w:rFonts w:ascii="Arial"/>
          <w:color w:val="BF5A14"/>
        </w:rPr>
      </w:pPr>
      <w:r>
        <w:rPr>
          <w:noProof/>
        </w:rPr>
        <w:t xml:space="preserve">              </w:t>
      </w:r>
      <w:r w:rsidR="00EC324E">
        <w:rPr>
          <w:noProof/>
        </w:rPr>
        <w:drawing>
          <wp:inline distT="0" distB="0" distL="0" distR="0" wp14:anchorId="2D94C127" wp14:editId="3EC2CA10">
            <wp:extent cx="491401" cy="643695"/>
            <wp:effectExtent l="0" t="0" r="0" b="0"/>
            <wp:docPr id="2" name="Picture 2" descr="../Desktop/photo%5b4%5d%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photo%5b4%5d%2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6806" cy="703172"/>
                    </a:xfrm>
                    <a:prstGeom prst="rect">
                      <a:avLst/>
                    </a:prstGeom>
                    <a:noFill/>
                    <a:ln>
                      <a:noFill/>
                    </a:ln>
                  </pic:spPr>
                </pic:pic>
              </a:graphicData>
            </a:graphic>
          </wp:inline>
        </w:drawing>
      </w:r>
      <w:r w:rsidR="00EC324E">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0D75D27" w14:textId="77777777" w:rsidR="003D5F30" w:rsidRPr="00F97189" w:rsidRDefault="003D5F30" w:rsidP="003D5F30">
      <w:pPr>
        <w:pStyle w:val="Header"/>
        <w:tabs>
          <w:tab w:val="left" w:pos="3480"/>
        </w:tabs>
        <w:rPr>
          <w:rFonts w:ascii="Trebuchet MS" w:hAnsi="Trebuchet MS"/>
          <w:sz w:val="16"/>
          <w:szCs w:val="16"/>
        </w:rPr>
      </w:pPr>
      <w:r w:rsidRPr="00F97189">
        <w:rPr>
          <w:rFonts w:ascii="Trebuchet MS" w:hAnsi="Trebuchet MS"/>
          <w:sz w:val="16"/>
          <w:szCs w:val="16"/>
        </w:rPr>
        <w:t>Dr. Ally Dering-Anderson</w:t>
      </w:r>
      <w:r w:rsidRPr="00F97189">
        <w:rPr>
          <w:rFonts w:ascii="Trebuchet MS" w:hAnsi="Trebuchet MS"/>
          <w:sz w:val="16"/>
          <w:szCs w:val="16"/>
        </w:rPr>
        <w:t xml:space="preserve">, </w:t>
      </w:r>
      <w:r w:rsidRPr="00F97189">
        <w:rPr>
          <w:rFonts w:ascii="Trebuchet MS" w:hAnsi="Trebuchet MS"/>
          <w:sz w:val="16"/>
          <w:szCs w:val="16"/>
        </w:rPr>
        <w:t>BA, PharmD, RP, is a Clinical Associate Professor in the Department of Pharmacy Practice at the University of Nebraska College of Pharmacy.  She coordinates and teaches the OTC &amp; Self Care Products Course and the Point-of-Care Testing Course, does the didactic training for the immunization class, teaches in Pharmacy Law &amp;</w:t>
      </w:r>
      <w:r w:rsidR="00F97189">
        <w:rPr>
          <w:rFonts w:ascii="Trebuchet MS" w:hAnsi="Trebuchet MS"/>
          <w:sz w:val="16"/>
          <w:szCs w:val="16"/>
        </w:rPr>
        <w:t xml:space="preserve"> Ethics and in Pharmacotherapy.</w:t>
      </w:r>
      <w:r w:rsidRPr="00F97189">
        <w:rPr>
          <w:rFonts w:ascii="Trebuchet MS" w:hAnsi="Trebuchet MS"/>
          <w:sz w:val="16"/>
          <w:szCs w:val="16"/>
        </w:rPr>
        <w:t xml:space="preserve"> A pharmacist immunization advocate, Ally has given more than 40,000 immunizations during her career. </w:t>
      </w:r>
    </w:p>
    <w:p w14:paraId="611D51A5" w14:textId="77777777" w:rsidR="003D5F30" w:rsidRPr="00F97189" w:rsidRDefault="003D5F30" w:rsidP="003D5F30">
      <w:pPr>
        <w:spacing w:before="92"/>
        <w:ind w:right="4234"/>
        <w:rPr>
          <w:rFonts w:ascii="Arial"/>
          <w:sz w:val="16"/>
          <w:szCs w:val="16"/>
        </w:rPr>
      </w:pPr>
      <w:r w:rsidRPr="00F97189">
        <w:rPr>
          <w:rFonts w:ascii="Trebuchet MS" w:hAnsi="Trebuchet MS"/>
          <w:sz w:val="16"/>
          <w:szCs w:val="16"/>
        </w:rPr>
        <w:t>Ally has spoken nationally and internationally on pharmacy</w:t>
      </w:r>
      <w:r w:rsidR="00F97189" w:rsidRPr="00F97189">
        <w:rPr>
          <w:rFonts w:ascii="Trebuchet MS" w:hAnsi="Trebuchet MS"/>
          <w:sz w:val="16"/>
          <w:szCs w:val="16"/>
        </w:rPr>
        <w:t xml:space="preserve"> </w:t>
      </w:r>
      <w:r w:rsidRPr="00F97189">
        <w:rPr>
          <w:rFonts w:ascii="Trebuchet MS" w:hAnsi="Trebuchet MS"/>
          <w:sz w:val="16"/>
          <w:szCs w:val="16"/>
        </w:rPr>
        <w:t>t</w:t>
      </w:r>
      <w:r w:rsidR="00F97189">
        <w:rPr>
          <w:rFonts w:ascii="Trebuchet MS" w:hAnsi="Trebuchet MS"/>
          <w:sz w:val="16"/>
          <w:szCs w:val="16"/>
        </w:rPr>
        <w:t xml:space="preserve">opics.  Her interests include: </w:t>
      </w:r>
      <w:r w:rsidRPr="00F97189">
        <w:rPr>
          <w:rFonts w:ascii="Trebuchet MS" w:hAnsi="Trebuchet MS"/>
          <w:sz w:val="16"/>
          <w:szCs w:val="16"/>
        </w:rPr>
        <w:t>Community Pharmacy Issues including Point-of-Care Testing, Immunizations, Over-the-Counter and Behind-the-Counter medicines; Excellence in Education; Medical Marijuana; and Public Health Policy.  In 2017, Ally was selected to teach a summer elective at Chinese Pharmaceutical University in Nanjing, China</w:t>
      </w:r>
      <w:bookmarkStart w:id="0" w:name="_GoBack"/>
      <w:bookmarkEnd w:id="0"/>
    </w:p>
    <w:p w14:paraId="3CD214CA" w14:textId="77777777" w:rsidR="00AE3E37" w:rsidRDefault="00A9710C">
      <w:pPr>
        <w:spacing w:before="62"/>
        <w:ind w:left="4217" w:right="4235"/>
        <w:jc w:val="center"/>
        <w:rPr>
          <w:rFonts w:ascii="Arial"/>
          <w:sz w:val="14"/>
        </w:rPr>
      </w:pPr>
      <w:r>
        <w:rPr>
          <w:rFonts w:ascii="Arial"/>
          <w:sz w:val="14"/>
        </w:rPr>
        <w:t xml:space="preserve">Email: </w:t>
      </w:r>
      <w:r w:rsidR="00EC324E">
        <w:rPr>
          <w:rFonts w:ascii="Arial"/>
          <w:sz w:val="14"/>
        </w:rPr>
        <w:t>Ally.DeringAnderson@UNMC.edu</w:t>
      </w:r>
    </w:p>
    <w:p w14:paraId="62745343"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1CE99EF" wp14:editId="7DF442A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3AB0EED" w14:textId="77777777" w:rsidR="00AE3E37" w:rsidRDefault="00AE3E37">
      <w:pPr>
        <w:pStyle w:val="BodyText"/>
        <w:rPr>
          <w:rFonts w:ascii="Arial"/>
          <w:sz w:val="20"/>
        </w:rPr>
      </w:pPr>
    </w:p>
    <w:p w14:paraId="74686EEA" w14:textId="77777777" w:rsidR="00AE3E37" w:rsidRDefault="00AE3E37">
      <w:pPr>
        <w:pStyle w:val="BodyText"/>
        <w:rPr>
          <w:rFonts w:ascii="Arial"/>
          <w:sz w:val="20"/>
        </w:rPr>
      </w:pPr>
    </w:p>
    <w:p w14:paraId="6573F886" w14:textId="77777777" w:rsidR="00AE3E37" w:rsidRDefault="00AE3E37">
      <w:pPr>
        <w:pStyle w:val="BodyText"/>
        <w:spacing w:before="7"/>
        <w:rPr>
          <w:rFonts w:ascii="Arial"/>
          <w:sz w:val="29"/>
        </w:rPr>
      </w:pPr>
    </w:p>
    <w:p w14:paraId="2D120DB7" w14:textId="77777777" w:rsidR="00AE3E37" w:rsidRPr="00B21A57" w:rsidRDefault="00A9710C">
      <w:pPr>
        <w:spacing w:before="39"/>
        <w:ind w:left="100"/>
        <w:rPr>
          <w:rFonts w:ascii="Minion Pro"/>
          <w:b/>
          <w:sz w:val="20"/>
        </w:rPr>
      </w:pPr>
      <w:r w:rsidRPr="00B21A57">
        <w:rPr>
          <w:rFonts w:ascii="Minion Pro"/>
          <w:b/>
          <w:sz w:val="20"/>
        </w:rPr>
        <w:t>Notes/Comments:</w:t>
      </w:r>
    </w:p>
    <w:p w14:paraId="28A4E19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86E91C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A3B9E7" w14:textId="77777777" w:rsidR="00B67DB0" w:rsidRDefault="00B67DB0">
      <w:r>
        <w:separator/>
      </w:r>
    </w:p>
  </w:endnote>
  <w:endnote w:type="continuationSeparator" w:id="0">
    <w:p w14:paraId="66B5EAE6" w14:textId="77777777" w:rsidR="00B67DB0" w:rsidRDefault="00B67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3505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B33D45A" wp14:editId="4E6647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DFC2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1FCAE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3D45A"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27DDFC2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1FCAE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4D07C64" wp14:editId="0D40F23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B58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4DFED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D07C6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7BBB58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4DFED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F98819F" wp14:editId="68B1643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3D90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10A8BF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8819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5E3D90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10A8BF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ACD236" w14:textId="77777777" w:rsidR="00B67DB0" w:rsidRDefault="00B67DB0">
      <w:r>
        <w:separator/>
      </w:r>
    </w:p>
  </w:footnote>
  <w:footnote w:type="continuationSeparator" w:id="0">
    <w:p w14:paraId="3FA5FDF1" w14:textId="77777777" w:rsidR="00B67DB0" w:rsidRDefault="00B67DB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A890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172E64D" wp14:editId="2FF9CFA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F49D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72E64D"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785F49D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D9FC536" wp14:editId="155D668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AD8D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69E8F7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FC53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723AD8D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69E8F7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E1F7294"/>
    <w:multiLevelType w:val="hybridMultilevel"/>
    <w:tmpl w:val="DDD281E0"/>
    <w:lvl w:ilvl="0" w:tplc="0C880DCE">
      <w:start w:val="1"/>
      <w:numFmt w:val="decimal"/>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0C1"/>
    <w:rsid w:val="000E2911"/>
    <w:rsid w:val="001263DF"/>
    <w:rsid w:val="001D6B30"/>
    <w:rsid w:val="002455EC"/>
    <w:rsid w:val="00292ED9"/>
    <w:rsid w:val="00310E37"/>
    <w:rsid w:val="003D5F30"/>
    <w:rsid w:val="00404E5B"/>
    <w:rsid w:val="00414F7B"/>
    <w:rsid w:val="004355DC"/>
    <w:rsid w:val="004749B4"/>
    <w:rsid w:val="00494130"/>
    <w:rsid w:val="004F3523"/>
    <w:rsid w:val="005973B9"/>
    <w:rsid w:val="005B3A56"/>
    <w:rsid w:val="006060CE"/>
    <w:rsid w:val="0063497F"/>
    <w:rsid w:val="00867B75"/>
    <w:rsid w:val="00873DF0"/>
    <w:rsid w:val="008756E6"/>
    <w:rsid w:val="008A08B6"/>
    <w:rsid w:val="009B2D44"/>
    <w:rsid w:val="00A07E82"/>
    <w:rsid w:val="00A9710C"/>
    <w:rsid w:val="00AE3E37"/>
    <w:rsid w:val="00B21A57"/>
    <w:rsid w:val="00B67DB0"/>
    <w:rsid w:val="00C33602"/>
    <w:rsid w:val="00C61C4D"/>
    <w:rsid w:val="00CD6F55"/>
    <w:rsid w:val="00DE3104"/>
    <w:rsid w:val="00E26B10"/>
    <w:rsid w:val="00EC324E"/>
    <w:rsid w:val="00F72EEA"/>
    <w:rsid w:val="00F84CAE"/>
    <w:rsid w:val="00F97189"/>
    <w:rsid w:val="00FC55FC"/>
    <w:rsid w:val="00FF09A7"/>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0DA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629</Words>
  <Characters>3587</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Dering-Anderson, Allison M</cp:lastModifiedBy>
  <cp:revision>2</cp:revision>
  <dcterms:created xsi:type="dcterms:W3CDTF">2017-09-11T17:29:00Z</dcterms:created>
  <dcterms:modified xsi:type="dcterms:W3CDTF">2017-09-11T17:29:00Z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