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192E" w:rsidRPr="005B192E" w:rsidRDefault="005B192E" w:rsidP="005B192E">
      <w:pPr>
        <w:rPr>
          <w:rFonts w:asciiTheme="majorBidi" w:eastAsia="Calibri" w:hAnsiTheme="majorBidi" w:cstheme="majorBidi"/>
          <w:bCs/>
          <w:color w:val="0070C0"/>
          <w:sz w:val="28"/>
          <w:szCs w:val="28"/>
        </w:rPr>
      </w:pPr>
      <w:proofErr w:type="gramStart"/>
      <w:r w:rsidRPr="005B192E">
        <w:rPr>
          <w:rFonts w:asciiTheme="majorBidi" w:eastAsia="Calibri" w:hAnsiTheme="majorBidi" w:cstheme="majorBidi"/>
          <w:bCs/>
          <w:color w:val="0070C0"/>
          <w:sz w:val="28"/>
          <w:szCs w:val="28"/>
        </w:rPr>
        <w:t xml:space="preserve">The study of </w:t>
      </w:r>
      <w:proofErr w:type="spellStart"/>
      <w:r w:rsidRPr="005B192E">
        <w:rPr>
          <w:rFonts w:asciiTheme="majorBidi" w:eastAsia="Calibri" w:hAnsiTheme="majorBidi" w:cstheme="majorBidi"/>
          <w:bCs/>
          <w:color w:val="0070C0"/>
          <w:sz w:val="28"/>
          <w:szCs w:val="28"/>
        </w:rPr>
        <w:t>Amikacin</w:t>
      </w:r>
      <w:proofErr w:type="spellEnd"/>
      <w:r w:rsidRPr="005B192E">
        <w:rPr>
          <w:rFonts w:asciiTheme="majorBidi" w:eastAsia="Calibri" w:hAnsiTheme="majorBidi" w:cstheme="majorBidi"/>
          <w:bCs/>
          <w:color w:val="0070C0"/>
          <w:sz w:val="28"/>
          <w:szCs w:val="28"/>
        </w:rPr>
        <w:t xml:space="preserve"> Regimen Associated Toxicity in Febrile </w:t>
      </w:r>
      <w:proofErr w:type="spellStart"/>
      <w:r w:rsidRPr="005B192E">
        <w:rPr>
          <w:rFonts w:asciiTheme="majorBidi" w:eastAsia="Calibri" w:hAnsiTheme="majorBidi" w:cstheme="majorBidi"/>
          <w:bCs/>
          <w:color w:val="0070C0"/>
          <w:sz w:val="28"/>
          <w:szCs w:val="28"/>
        </w:rPr>
        <w:t>neutropenic</w:t>
      </w:r>
      <w:proofErr w:type="spellEnd"/>
      <w:r w:rsidRPr="005B192E">
        <w:rPr>
          <w:rFonts w:asciiTheme="majorBidi" w:eastAsia="Calibri" w:hAnsiTheme="majorBidi" w:cstheme="majorBidi"/>
          <w:bCs/>
          <w:color w:val="0070C0"/>
          <w:sz w:val="28"/>
          <w:szCs w:val="28"/>
        </w:rPr>
        <w:t xml:space="preserve"> Pediatric Cancer Patients.</w:t>
      </w:r>
      <w:proofErr w:type="gramEnd"/>
      <w:r w:rsidRPr="005B192E">
        <w:rPr>
          <w:rFonts w:asciiTheme="majorBidi" w:eastAsia="Calibri" w:hAnsiTheme="majorBidi" w:cstheme="majorBidi"/>
          <w:bCs/>
          <w:color w:val="0070C0"/>
          <w:sz w:val="28"/>
          <w:szCs w:val="28"/>
        </w:rPr>
        <w:t xml:space="preserve">      </w:t>
      </w:r>
    </w:p>
    <w:p w:rsidR="00AF45E1" w:rsidRDefault="005B192E" w:rsidP="005B192E">
      <w:pPr>
        <w:rPr>
          <w:rFonts w:asciiTheme="majorBidi" w:eastAsia="Calibri" w:hAnsiTheme="majorBidi" w:cstheme="majorBidi"/>
          <w:bCs/>
          <w:color w:val="0070C0"/>
          <w:sz w:val="18"/>
          <w:szCs w:val="18"/>
        </w:rPr>
      </w:pPr>
      <w:proofErr w:type="spellStart"/>
      <w:r w:rsidRPr="005B192E">
        <w:rPr>
          <w:rFonts w:asciiTheme="majorBidi" w:eastAsia="Calibri" w:hAnsiTheme="majorBidi" w:cstheme="majorBidi"/>
          <w:bCs/>
          <w:color w:val="0070C0"/>
          <w:sz w:val="18"/>
          <w:szCs w:val="18"/>
        </w:rPr>
        <w:t>AbdelAzim</w:t>
      </w:r>
      <w:proofErr w:type="spellEnd"/>
      <w:r w:rsidRPr="005B192E">
        <w:rPr>
          <w:rFonts w:asciiTheme="majorBidi" w:eastAsia="Calibri" w:hAnsiTheme="majorBidi" w:cstheme="majorBidi"/>
          <w:bCs/>
          <w:color w:val="0070C0"/>
          <w:sz w:val="18"/>
          <w:szCs w:val="18"/>
        </w:rPr>
        <w:t xml:space="preserve"> Assi1 and </w:t>
      </w:r>
      <w:proofErr w:type="spellStart"/>
      <w:r w:rsidRPr="005B192E">
        <w:rPr>
          <w:rFonts w:asciiTheme="majorBidi" w:eastAsia="Calibri" w:hAnsiTheme="majorBidi" w:cstheme="majorBidi"/>
          <w:bCs/>
          <w:color w:val="0070C0"/>
          <w:sz w:val="18"/>
          <w:szCs w:val="18"/>
        </w:rPr>
        <w:t>Aya</w:t>
      </w:r>
      <w:proofErr w:type="spellEnd"/>
      <w:r w:rsidRPr="005B192E">
        <w:rPr>
          <w:rFonts w:asciiTheme="majorBidi" w:eastAsia="Calibri" w:hAnsiTheme="majorBidi" w:cstheme="majorBidi"/>
          <w:bCs/>
          <w:color w:val="0070C0"/>
          <w:sz w:val="18"/>
          <w:szCs w:val="18"/>
        </w:rPr>
        <w:t xml:space="preserve"> AbdelRahman2 </w:t>
      </w:r>
      <w:r w:rsidR="00541746">
        <w:rPr>
          <w:rFonts w:asciiTheme="majorBidi" w:eastAsia="Calibri" w:hAnsiTheme="majorBidi" w:cstheme="majorBidi"/>
          <w:bCs/>
          <w:color w:val="0070C0"/>
          <w:sz w:val="18"/>
          <w:szCs w:val="18"/>
        </w:rPr>
        <w:t xml:space="preserve">Dept. of </w:t>
      </w:r>
      <w:proofErr w:type="spellStart"/>
      <w:r w:rsidR="00541746">
        <w:rPr>
          <w:rFonts w:asciiTheme="majorBidi" w:eastAsia="Calibri" w:hAnsiTheme="majorBidi" w:cstheme="majorBidi"/>
          <w:bCs/>
          <w:color w:val="0070C0"/>
          <w:sz w:val="18"/>
          <w:szCs w:val="18"/>
        </w:rPr>
        <w:t>Phasrmacology</w:t>
      </w:r>
      <w:proofErr w:type="spellEnd"/>
      <w:r w:rsidR="00541746">
        <w:rPr>
          <w:rFonts w:asciiTheme="majorBidi" w:eastAsia="Calibri" w:hAnsiTheme="majorBidi" w:cstheme="majorBidi"/>
          <w:bCs/>
          <w:color w:val="0070C0"/>
          <w:sz w:val="18"/>
          <w:szCs w:val="18"/>
        </w:rPr>
        <w:t xml:space="preserve">, College of Medicine </w:t>
      </w:r>
    </w:p>
    <w:p w:rsidR="005B192E" w:rsidRPr="005B192E" w:rsidRDefault="00541746" w:rsidP="005B192E">
      <w:pPr>
        <w:rPr>
          <w:rFonts w:asciiTheme="majorBidi" w:eastAsia="Calibri" w:hAnsiTheme="majorBidi" w:cstheme="majorBidi"/>
          <w:bCs/>
          <w:sz w:val="18"/>
          <w:szCs w:val="18"/>
        </w:rPr>
      </w:pPr>
      <w:proofErr w:type="gramStart"/>
      <w:r>
        <w:rPr>
          <w:rFonts w:asciiTheme="majorBidi" w:eastAsia="Calibri" w:hAnsiTheme="majorBidi" w:cstheme="majorBidi"/>
          <w:bCs/>
          <w:color w:val="0070C0"/>
          <w:sz w:val="18"/>
          <w:szCs w:val="18"/>
        </w:rPr>
        <w:t>and</w:t>
      </w:r>
      <w:r w:rsidR="005B192E" w:rsidRPr="005B192E">
        <w:rPr>
          <w:rFonts w:asciiTheme="majorBidi" w:eastAsia="Calibri" w:hAnsiTheme="majorBidi" w:cstheme="majorBidi"/>
          <w:bCs/>
          <w:color w:val="0070C0"/>
          <w:sz w:val="18"/>
          <w:szCs w:val="18"/>
        </w:rPr>
        <w:t xml:space="preserve">  </w:t>
      </w:r>
      <w:r w:rsidRPr="00541746">
        <w:rPr>
          <w:rFonts w:ascii="Calibri" w:eastAsia="Calibri" w:hAnsi="Calibri" w:cs="Calibri"/>
          <w:bCs/>
          <w:color w:val="0070C0"/>
          <w:sz w:val="18"/>
          <w:szCs w:val="18"/>
        </w:rPr>
        <w:t>South</w:t>
      </w:r>
      <w:proofErr w:type="gramEnd"/>
      <w:r w:rsidRPr="00541746">
        <w:rPr>
          <w:rFonts w:ascii="Calibri" w:eastAsia="Calibri" w:hAnsi="Calibri" w:cs="Calibri"/>
          <w:bCs/>
          <w:color w:val="0070C0"/>
          <w:sz w:val="18"/>
          <w:szCs w:val="18"/>
        </w:rPr>
        <w:t xml:space="preserve"> Egypt Cancer Institute, </w:t>
      </w:r>
      <w:proofErr w:type="spellStart"/>
      <w:r w:rsidRPr="00541746">
        <w:rPr>
          <w:rFonts w:ascii="Calibri" w:eastAsia="Calibri" w:hAnsi="Calibri" w:cs="Calibri"/>
          <w:bCs/>
          <w:color w:val="0070C0"/>
          <w:sz w:val="18"/>
          <w:szCs w:val="18"/>
        </w:rPr>
        <w:t>AssiutUniversity</w:t>
      </w:r>
      <w:proofErr w:type="spellEnd"/>
      <w:r w:rsidRPr="00541746">
        <w:rPr>
          <w:rFonts w:ascii="Calibri" w:eastAsia="Calibri" w:hAnsi="Calibri" w:cs="Calibri"/>
          <w:bCs/>
          <w:color w:val="0070C0"/>
          <w:sz w:val="28"/>
          <w:szCs w:val="28"/>
        </w:rPr>
        <w:t xml:space="preserve">.                                                    </w:t>
      </w:r>
      <w:r w:rsidR="005B192E" w:rsidRPr="00541746">
        <w:rPr>
          <w:rFonts w:asciiTheme="majorBidi" w:eastAsia="Calibri" w:hAnsiTheme="majorBidi" w:cstheme="majorBidi"/>
          <w:bCs/>
          <w:color w:val="0070C0"/>
          <w:sz w:val="18"/>
          <w:szCs w:val="18"/>
        </w:rPr>
        <w:t xml:space="preserve">                                                                                                                                                                                                      </w:t>
      </w:r>
    </w:p>
    <w:p w:rsidR="00541746" w:rsidRPr="00541746" w:rsidRDefault="00541746" w:rsidP="005B192E">
      <w:pPr>
        <w:pStyle w:val="ListParagraph"/>
        <w:tabs>
          <w:tab w:val="left" w:pos="720"/>
        </w:tabs>
        <w:spacing w:line="480" w:lineRule="auto"/>
        <w:ind w:left="-142"/>
        <w:rPr>
          <w:rFonts w:ascii="Calibri" w:eastAsia="Calibri" w:hAnsi="Calibri" w:cs="Calibri"/>
          <w:b/>
          <w:color w:val="1D1B11" w:themeColor="background2" w:themeShade="1A"/>
          <w:sz w:val="28"/>
          <w:szCs w:val="28"/>
          <w:u w:val="single"/>
        </w:rPr>
      </w:pPr>
      <w:r w:rsidRPr="00541746">
        <w:rPr>
          <w:rFonts w:ascii="Calibri" w:eastAsia="Calibri" w:hAnsi="Calibri" w:cs="Calibri"/>
          <w:b/>
          <w:color w:val="1D1B11" w:themeColor="background2" w:themeShade="1A"/>
          <w:sz w:val="28"/>
          <w:szCs w:val="28"/>
          <w:u w:val="single"/>
        </w:rPr>
        <w:t>Abstract</w:t>
      </w:r>
    </w:p>
    <w:p w:rsidR="005B192E" w:rsidRDefault="005B192E" w:rsidP="00541746">
      <w:pPr>
        <w:pStyle w:val="ListParagraph"/>
        <w:tabs>
          <w:tab w:val="left" w:pos="720"/>
        </w:tabs>
        <w:spacing w:line="480" w:lineRule="auto"/>
        <w:ind w:left="-142"/>
        <w:jc w:val="both"/>
        <w:rPr>
          <w:rFonts w:ascii="Calibri" w:eastAsia="Calibri" w:hAnsi="Calibri" w:cs="Calibri"/>
          <w:bCs/>
          <w:sz w:val="18"/>
          <w:szCs w:val="18"/>
        </w:rPr>
      </w:pPr>
      <w:r w:rsidRPr="005B192E">
        <w:rPr>
          <w:rFonts w:ascii="Calibri" w:eastAsia="Calibri" w:hAnsi="Calibri" w:cs="Calibri"/>
          <w:bCs/>
          <w:color w:val="1D1B11" w:themeColor="background2" w:themeShade="1A"/>
          <w:sz w:val="18"/>
          <w:szCs w:val="18"/>
        </w:rPr>
        <w:t>Cancer is the second most common cause of death in children. Incidence rates have shown an increase over time since the mid of the last century. The continuous improvement in diagnostic and treatment strategies for cancer has led to significant improvements in survival for a wide range of childhood cancers.</w:t>
      </w:r>
      <w:r w:rsidRPr="005B192E">
        <w:rPr>
          <w:rFonts w:ascii="Calibri" w:eastAsia="Calibri" w:hAnsi="Calibri" w:cs="Calibri" w:hint="cs"/>
          <w:bCs/>
          <w:sz w:val="18"/>
          <w:szCs w:val="18"/>
        </w:rPr>
        <w:t xml:space="preserve"> </w:t>
      </w:r>
      <w:r w:rsidRPr="005B192E">
        <w:rPr>
          <w:rFonts w:ascii="Calibri" w:eastAsia="Calibri" w:hAnsi="Calibri" w:cs="Calibri"/>
          <w:bCs/>
          <w:color w:val="000000"/>
          <w:sz w:val="18"/>
          <w:szCs w:val="18"/>
        </w:rPr>
        <w:t xml:space="preserve"> </w:t>
      </w:r>
      <w:proofErr w:type="spellStart"/>
      <w:r w:rsidRPr="005B192E">
        <w:rPr>
          <w:rFonts w:ascii="Calibri" w:eastAsia="Calibri" w:hAnsi="Calibri" w:cs="Calibri"/>
          <w:bCs/>
          <w:color w:val="000000"/>
          <w:sz w:val="18"/>
          <w:szCs w:val="18"/>
        </w:rPr>
        <w:t>Amikacin</w:t>
      </w:r>
      <w:proofErr w:type="spellEnd"/>
      <w:r w:rsidRPr="005B192E">
        <w:rPr>
          <w:rFonts w:ascii="Calibri" w:eastAsia="Calibri" w:hAnsi="Calibri" w:cs="Calibri"/>
          <w:bCs/>
          <w:color w:val="000000"/>
          <w:sz w:val="18"/>
          <w:szCs w:val="18"/>
        </w:rPr>
        <w:t xml:space="preserve"> is an </w:t>
      </w:r>
      <w:proofErr w:type="spellStart"/>
      <w:r w:rsidRPr="005B192E">
        <w:rPr>
          <w:rFonts w:ascii="Calibri" w:eastAsia="Calibri" w:hAnsi="Calibri" w:cs="Calibri"/>
          <w:bCs/>
          <w:color w:val="000000"/>
          <w:sz w:val="18"/>
          <w:szCs w:val="18"/>
        </w:rPr>
        <w:t>Aminoglycosides</w:t>
      </w:r>
      <w:proofErr w:type="spellEnd"/>
      <w:r w:rsidRPr="005B192E">
        <w:rPr>
          <w:rFonts w:ascii="Calibri" w:eastAsia="Calibri" w:hAnsi="Calibri" w:cs="Calibri"/>
          <w:bCs/>
          <w:color w:val="000000"/>
          <w:sz w:val="18"/>
          <w:szCs w:val="18"/>
        </w:rPr>
        <w:t xml:space="preserve"> which are structurally related compounds. </w:t>
      </w:r>
      <w:proofErr w:type="spellStart"/>
      <w:r w:rsidRPr="005B192E">
        <w:rPr>
          <w:rFonts w:ascii="Calibri" w:eastAsia="Calibri" w:hAnsi="Calibri" w:cs="Calibri"/>
          <w:bCs/>
          <w:color w:val="000000"/>
          <w:sz w:val="18"/>
          <w:szCs w:val="18"/>
        </w:rPr>
        <w:t>Aminoglycoside</w:t>
      </w:r>
      <w:proofErr w:type="spellEnd"/>
      <w:r w:rsidRPr="005B192E">
        <w:rPr>
          <w:rFonts w:ascii="Calibri" w:eastAsia="Calibri" w:hAnsi="Calibri" w:cs="Calibri"/>
          <w:bCs/>
          <w:color w:val="000000"/>
          <w:sz w:val="18"/>
          <w:szCs w:val="18"/>
        </w:rPr>
        <w:t xml:space="preserve"> are bactericidal. The aim of the study </w:t>
      </w:r>
      <w:proofErr w:type="gramStart"/>
      <w:r w:rsidRPr="005B192E">
        <w:rPr>
          <w:rFonts w:ascii="Calibri" w:eastAsia="Calibri" w:hAnsi="Calibri" w:cs="Calibri"/>
          <w:bCs/>
          <w:color w:val="000000"/>
          <w:sz w:val="18"/>
          <w:szCs w:val="18"/>
        </w:rPr>
        <w:t>was  evaluation</w:t>
      </w:r>
      <w:proofErr w:type="gramEnd"/>
      <w:r w:rsidRPr="005B192E">
        <w:rPr>
          <w:rFonts w:ascii="Calibri" w:eastAsia="Calibri" w:hAnsi="Calibri" w:cs="Calibri"/>
          <w:bCs/>
          <w:color w:val="000000"/>
          <w:sz w:val="18"/>
          <w:szCs w:val="18"/>
        </w:rPr>
        <w:t xml:space="preserve"> of </w:t>
      </w:r>
      <w:proofErr w:type="spellStart"/>
      <w:r w:rsidRPr="005B192E">
        <w:rPr>
          <w:rFonts w:ascii="Calibri" w:eastAsia="Calibri" w:hAnsi="Calibri" w:cs="Calibri"/>
          <w:bCs/>
          <w:color w:val="000000"/>
          <w:sz w:val="18"/>
          <w:szCs w:val="18"/>
        </w:rPr>
        <w:t>amikacin</w:t>
      </w:r>
      <w:proofErr w:type="spellEnd"/>
      <w:r w:rsidRPr="005B192E">
        <w:rPr>
          <w:rFonts w:ascii="Calibri" w:eastAsia="Calibri" w:hAnsi="Calibri" w:cs="Calibri"/>
          <w:bCs/>
          <w:color w:val="000000"/>
          <w:sz w:val="18"/>
          <w:szCs w:val="18"/>
        </w:rPr>
        <w:t xml:space="preserve"> serum level in pediatric cancer patients with fever </w:t>
      </w:r>
      <w:proofErr w:type="spellStart"/>
      <w:r w:rsidRPr="005B192E">
        <w:rPr>
          <w:rFonts w:ascii="Calibri" w:eastAsia="Calibri" w:hAnsi="Calibri" w:cs="Calibri"/>
          <w:bCs/>
          <w:color w:val="000000"/>
          <w:sz w:val="18"/>
          <w:szCs w:val="18"/>
        </w:rPr>
        <w:t>neutropenia</w:t>
      </w:r>
      <w:proofErr w:type="spellEnd"/>
      <w:r w:rsidRPr="005B192E">
        <w:rPr>
          <w:rFonts w:ascii="Calibri" w:eastAsia="Calibri" w:hAnsi="Calibri" w:cs="Calibri"/>
          <w:bCs/>
          <w:color w:val="000000"/>
          <w:sz w:val="18"/>
          <w:szCs w:val="18"/>
        </w:rPr>
        <w:t xml:space="preserve"> and impact of this level on the efficacy and toxicity of </w:t>
      </w:r>
      <w:proofErr w:type="spellStart"/>
      <w:r w:rsidRPr="005B192E">
        <w:rPr>
          <w:rFonts w:ascii="Calibri" w:eastAsia="Calibri" w:hAnsi="Calibri" w:cs="Calibri"/>
          <w:bCs/>
          <w:color w:val="000000"/>
          <w:sz w:val="18"/>
          <w:szCs w:val="18"/>
        </w:rPr>
        <w:t>Amikacin</w:t>
      </w:r>
      <w:proofErr w:type="spellEnd"/>
      <w:r w:rsidRPr="005B192E">
        <w:rPr>
          <w:rFonts w:ascii="Calibri" w:eastAsia="Calibri" w:hAnsi="Calibri" w:cs="Calibri"/>
          <w:bCs/>
          <w:color w:val="000000"/>
          <w:sz w:val="18"/>
          <w:szCs w:val="18"/>
        </w:rPr>
        <w:t xml:space="preserve">.   Pediatric patients aged from 1-18 years and patients with hematological malignancies admitted to South Egypt Cancer Institute, </w:t>
      </w:r>
      <w:proofErr w:type="spellStart"/>
      <w:r w:rsidRPr="005B192E">
        <w:rPr>
          <w:rFonts w:ascii="Calibri" w:eastAsia="Calibri" w:hAnsi="Calibri" w:cs="Calibri"/>
          <w:bCs/>
          <w:color w:val="000000"/>
          <w:sz w:val="18"/>
          <w:szCs w:val="18"/>
        </w:rPr>
        <w:t>Assiut</w:t>
      </w:r>
      <w:proofErr w:type="spellEnd"/>
      <w:r w:rsidRPr="005B192E">
        <w:rPr>
          <w:rFonts w:ascii="Calibri" w:eastAsia="Calibri" w:hAnsi="Calibri" w:cs="Calibri"/>
          <w:bCs/>
          <w:color w:val="000000"/>
          <w:sz w:val="18"/>
          <w:szCs w:val="18"/>
        </w:rPr>
        <w:t xml:space="preserve"> University were used in the study.</w:t>
      </w:r>
      <w:r w:rsidRPr="005B192E">
        <w:rPr>
          <w:rFonts w:ascii="Calibri" w:eastAsia="Calibri" w:hAnsi="Calibri" w:cs="Calibri"/>
          <w:bCs/>
          <w:sz w:val="18"/>
          <w:szCs w:val="18"/>
        </w:rPr>
        <w:t xml:space="preserve">  </w:t>
      </w:r>
      <w:r w:rsidRPr="005B192E">
        <w:rPr>
          <w:rFonts w:ascii="Calibri" w:eastAsia="Calibri" w:hAnsi="Calibri" w:cs="Calibri" w:hint="cs"/>
          <w:bCs/>
          <w:sz w:val="18"/>
          <w:szCs w:val="18"/>
        </w:rPr>
        <w:t xml:space="preserve">The administration of high dose of </w:t>
      </w:r>
      <w:proofErr w:type="spellStart"/>
      <w:r w:rsidRPr="005B192E">
        <w:rPr>
          <w:rFonts w:ascii="Calibri" w:eastAsia="Calibri" w:hAnsi="Calibri" w:cs="Calibri" w:hint="cs"/>
          <w:bCs/>
          <w:sz w:val="18"/>
          <w:szCs w:val="18"/>
        </w:rPr>
        <w:t>amikacin</w:t>
      </w:r>
      <w:proofErr w:type="spellEnd"/>
      <w:r w:rsidRPr="005B192E">
        <w:rPr>
          <w:rFonts w:ascii="Calibri" w:eastAsia="Calibri" w:hAnsi="Calibri" w:cs="Calibri" w:hint="cs"/>
          <w:bCs/>
          <w:sz w:val="18"/>
          <w:szCs w:val="18"/>
        </w:rPr>
        <w:t xml:space="preserve"> as a single daily dose is associated with slightly greater efficacy and less </w:t>
      </w:r>
      <w:proofErr w:type="spellStart"/>
      <w:r w:rsidRPr="005B192E">
        <w:rPr>
          <w:rFonts w:ascii="Calibri" w:eastAsia="Calibri" w:hAnsi="Calibri" w:cs="Calibri" w:hint="cs"/>
          <w:bCs/>
          <w:sz w:val="18"/>
          <w:szCs w:val="18"/>
        </w:rPr>
        <w:t>nephrotoxicity</w:t>
      </w:r>
      <w:proofErr w:type="spellEnd"/>
      <w:r w:rsidRPr="005B192E">
        <w:rPr>
          <w:rFonts w:ascii="Calibri" w:eastAsia="Calibri" w:hAnsi="Calibri" w:cs="Calibri" w:hint="cs"/>
          <w:bCs/>
          <w:sz w:val="18"/>
          <w:szCs w:val="18"/>
        </w:rPr>
        <w:t xml:space="preserve"> compared to a low dose of </w:t>
      </w:r>
      <w:proofErr w:type="spellStart"/>
      <w:r w:rsidRPr="005B192E">
        <w:rPr>
          <w:rFonts w:ascii="Calibri" w:eastAsia="Calibri" w:hAnsi="Calibri" w:cs="Calibri" w:hint="cs"/>
          <w:bCs/>
          <w:sz w:val="18"/>
          <w:szCs w:val="18"/>
        </w:rPr>
        <w:t>amikacin</w:t>
      </w:r>
      <w:proofErr w:type="spellEnd"/>
      <w:r w:rsidRPr="005B192E">
        <w:rPr>
          <w:rFonts w:ascii="Calibri" w:eastAsia="Calibri" w:hAnsi="Calibri" w:cs="Calibri" w:hint="cs"/>
          <w:bCs/>
          <w:sz w:val="18"/>
          <w:szCs w:val="18"/>
        </w:rPr>
        <w:t xml:space="preserve"> administered as twice daily dose.</w:t>
      </w:r>
    </w:p>
    <w:p w:rsidR="005B192E" w:rsidRDefault="005B192E" w:rsidP="005B192E">
      <w:pPr>
        <w:pStyle w:val="ListParagraph"/>
        <w:tabs>
          <w:tab w:val="left" w:pos="720"/>
        </w:tabs>
        <w:spacing w:line="480" w:lineRule="auto"/>
        <w:ind w:left="-142"/>
        <w:rPr>
          <w:rFonts w:ascii="Calibri" w:eastAsia="Calibri" w:hAnsi="Calibri" w:cs="Calibri"/>
          <w:bCs/>
          <w:color w:val="1D1B11" w:themeColor="background2" w:themeShade="1A"/>
          <w:sz w:val="18"/>
          <w:szCs w:val="18"/>
        </w:rPr>
      </w:pPr>
    </w:p>
    <w:p w:rsidR="005B192E" w:rsidRPr="005B192E" w:rsidRDefault="005B192E" w:rsidP="005B192E">
      <w:pPr>
        <w:pStyle w:val="ListParagraph"/>
        <w:tabs>
          <w:tab w:val="left" w:pos="720"/>
        </w:tabs>
        <w:spacing w:line="480" w:lineRule="auto"/>
        <w:ind w:left="-142"/>
        <w:rPr>
          <w:rFonts w:ascii="Calibri" w:eastAsia="Calibri" w:hAnsi="Calibri" w:cs="Calibri"/>
          <w:bCs/>
          <w:color w:val="0070C0"/>
          <w:sz w:val="28"/>
          <w:szCs w:val="28"/>
        </w:rPr>
      </w:pPr>
      <w:r w:rsidRPr="005B192E">
        <w:rPr>
          <w:rFonts w:ascii="Calibri" w:eastAsia="Calibri" w:hAnsi="Calibri" w:cs="Calibri"/>
          <w:bCs/>
          <w:color w:val="0070C0"/>
          <w:sz w:val="28"/>
          <w:szCs w:val="28"/>
        </w:rPr>
        <w:t>References:</w:t>
      </w:r>
    </w:p>
    <w:p w:rsidR="005B192E" w:rsidRPr="005B192E" w:rsidRDefault="005B192E" w:rsidP="005B192E">
      <w:pPr>
        <w:pStyle w:val="ListParagraph"/>
        <w:numPr>
          <w:ilvl w:val="0"/>
          <w:numId w:val="1"/>
        </w:numPr>
        <w:spacing w:after="0" w:line="240" w:lineRule="auto"/>
        <w:jc w:val="lowKashida"/>
        <w:rPr>
          <w:rFonts w:ascii="Calibri" w:hAnsi="Calibri" w:cstheme="majorBidi"/>
          <w:bCs/>
          <w:sz w:val="18"/>
          <w:szCs w:val="18"/>
          <w:lang w:bidi="ar-EG"/>
        </w:rPr>
      </w:pPr>
      <w:proofErr w:type="spellStart"/>
      <w:r w:rsidRPr="005B192E">
        <w:rPr>
          <w:rFonts w:ascii="Calibri" w:hAnsi="Calibri" w:cstheme="majorBidi"/>
          <w:bCs/>
          <w:sz w:val="18"/>
          <w:szCs w:val="18"/>
          <w:lang w:bidi="ar-EG"/>
        </w:rPr>
        <w:t>Kaatsch</w:t>
      </w:r>
      <w:proofErr w:type="spellEnd"/>
      <w:r w:rsidRPr="005B192E">
        <w:rPr>
          <w:rFonts w:ascii="Calibri" w:hAnsi="Calibri" w:cstheme="majorBidi"/>
          <w:bCs/>
          <w:sz w:val="18"/>
          <w:szCs w:val="18"/>
          <w:lang w:bidi="ar-EG"/>
        </w:rPr>
        <w:t xml:space="preserve">, P., </w:t>
      </w:r>
      <w:r w:rsidRPr="005B192E">
        <w:rPr>
          <w:rFonts w:ascii="Calibri" w:hAnsi="Calibri" w:cstheme="majorBidi"/>
          <w:bCs/>
          <w:i/>
          <w:sz w:val="18"/>
          <w:szCs w:val="18"/>
          <w:lang w:bidi="ar-EG"/>
        </w:rPr>
        <w:t>Epidemiology of childhood cancer.</w:t>
      </w:r>
      <w:r w:rsidRPr="005B192E">
        <w:rPr>
          <w:rFonts w:ascii="Calibri" w:hAnsi="Calibri" w:cstheme="majorBidi"/>
          <w:bCs/>
          <w:sz w:val="18"/>
          <w:szCs w:val="18"/>
          <w:lang w:bidi="ar-EG"/>
        </w:rPr>
        <w:t xml:space="preserve"> Cancer treatment reviews. 36(4): p. 277-285.</w:t>
      </w:r>
    </w:p>
    <w:p w:rsidR="005B192E" w:rsidRPr="005B192E" w:rsidRDefault="005B192E" w:rsidP="005B192E">
      <w:pPr>
        <w:pStyle w:val="ListParagraph"/>
        <w:numPr>
          <w:ilvl w:val="0"/>
          <w:numId w:val="1"/>
        </w:numPr>
        <w:spacing w:after="0" w:line="240" w:lineRule="auto"/>
        <w:jc w:val="lowKashida"/>
        <w:rPr>
          <w:rFonts w:ascii="Calibri" w:hAnsi="Calibri" w:cstheme="majorBidi"/>
          <w:bCs/>
          <w:sz w:val="18"/>
          <w:szCs w:val="18"/>
          <w:lang w:bidi="ar-EG"/>
        </w:rPr>
      </w:pPr>
      <w:proofErr w:type="spellStart"/>
      <w:r w:rsidRPr="005B192E">
        <w:rPr>
          <w:rFonts w:ascii="Calibri" w:hAnsi="Calibri" w:cstheme="majorBidi"/>
          <w:bCs/>
          <w:sz w:val="18"/>
          <w:szCs w:val="18"/>
          <w:lang w:bidi="ar-EG"/>
        </w:rPr>
        <w:t>Basta</w:t>
      </w:r>
      <w:proofErr w:type="spellEnd"/>
      <w:r w:rsidRPr="005B192E">
        <w:rPr>
          <w:rFonts w:ascii="Calibri" w:hAnsi="Calibri" w:cstheme="majorBidi"/>
          <w:bCs/>
          <w:sz w:val="18"/>
          <w:szCs w:val="18"/>
          <w:lang w:bidi="ar-EG"/>
        </w:rPr>
        <w:t xml:space="preserve">, N., et al., </w:t>
      </w:r>
      <w:r w:rsidRPr="005B192E">
        <w:rPr>
          <w:rFonts w:ascii="Calibri" w:hAnsi="Calibri" w:cstheme="majorBidi"/>
          <w:bCs/>
          <w:i/>
          <w:sz w:val="18"/>
          <w:szCs w:val="18"/>
          <w:lang w:bidi="ar-EG"/>
        </w:rPr>
        <w:t>Survival from childhood cancer in northern England, 1968â€“2005.</w:t>
      </w:r>
      <w:r w:rsidRPr="005B192E">
        <w:rPr>
          <w:rFonts w:ascii="Calibri" w:hAnsi="Calibri" w:cstheme="majorBidi"/>
          <w:bCs/>
          <w:sz w:val="18"/>
          <w:szCs w:val="18"/>
          <w:lang w:bidi="ar-EG"/>
        </w:rPr>
        <w:t xml:space="preserve"> British journal of cancer. 105(9): p. 1402-1408.</w:t>
      </w:r>
    </w:p>
    <w:p w:rsidR="005B192E" w:rsidRPr="005B192E" w:rsidRDefault="005B192E" w:rsidP="005B192E">
      <w:pPr>
        <w:pStyle w:val="ListParagraph"/>
        <w:numPr>
          <w:ilvl w:val="0"/>
          <w:numId w:val="1"/>
        </w:numPr>
        <w:spacing w:after="0" w:line="240" w:lineRule="auto"/>
        <w:jc w:val="lowKashida"/>
        <w:rPr>
          <w:rFonts w:ascii="Calibri" w:hAnsi="Calibri" w:cstheme="majorBidi"/>
          <w:bCs/>
          <w:sz w:val="18"/>
          <w:szCs w:val="18"/>
          <w:lang w:bidi="ar-EG"/>
        </w:rPr>
      </w:pPr>
      <w:proofErr w:type="spellStart"/>
      <w:r w:rsidRPr="005B192E">
        <w:rPr>
          <w:rFonts w:ascii="Calibri" w:hAnsi="Calibri" w:cstheme="majorBidi"/>
          <w:bCs/>
          <w:sz w:val="18"/>
          <w:szCs w:val="18"/>
          <w:lang w:bidi="ar-EG"/>
        </w:rPr>
        <w:t>Viscoli</w:t>
      </w:r>
      <w:proofErr w:type="spellEnd"/>
      <w:r w:rsidRPr="005B192E">
        <w:rPr>
          <w:rFonts w:ascii="Calibri" w:hAnsi="Calibri" w:cstheme="majorBidi"/>
          <w:bCs/>
          <w:sz w:val="18"/>
          <w:szCs w:val="18"/>
          <w:lang w:bidi="ar-EG"/>
        </w:rPr>
        <w:t xml:space="preserve">, C., O. </w:t>
      </w:r>
      <w:proofErr w:type="spellStart"/>
      <w:r w:rsidRPr="005B192E">
        <w:rPr>
          <w:rFonts w:ascii="Calibri" w:hAnsi="Calibri" w:cstheme="majorBidi"/>
          <w:bCs/>
          <w:sz w:val="18"/>
          <w:szCs w:val="18"/>
          <w:lang w:bidi="ar-EG"/>
        </w:rPr>
        <w:t>Varnier</w:t>
      </w:r>
      <w:proofErr w:type="spellEnd"/>
      <w:r w:rsidRPr="005B192E">
        <w:rPr>
          <w:rFonts w:ascii="Calibri" w:hAnsi="Calibri" w:cstheme="majorBidi"/>
          <w:bCs/>
          <w:sz w:val="18"/>
          <w:szCs w:val="18"/>
          <w:lang w:bidi="ar-EG"/>
        </w:rPr>
        <w:t xml:space="preserve">, and M. </w:t>
      </w:r>
      <w:proofErr w:type="spellStart"/>
      <w:r w:rsidRPr="005B192E">
        <w:rPr>
          <w:rFonts w:ascii="Calibri" w:hAnsi="Calibri" w:cstheme="majorBidi"/>
          <w:bCs/>
          <w:sz w:val="18"/>
          <w:szCs w:val="18"/>
          <w:lang w:bidi="ar-EG"/>
        </w:rPr>
        <w:t>Machetti</w:t>
      </w:r>
      <w:proofErr w:type="spellEnd"/>
      <w:r w:rsidRPr="005B192E">
        <w:rPr>
          <w:rFonts w:ascii="Calibri" w:hAnsi="Calibri" w:cstheme="majorBidi"/>
          <w:bCs/>
          <w:sz w:val="18"/>
          <w:szCs w:val="18"/>
          <w:lang w:bidi="ar-EG"/>
        </w:rPr>
        <w:t xml:space="preserve">, </w:t>
      </w:r>
      <w:r w:rsidRPr="005B192E">
        <w:rPr>
          <w:rFonts w:ascii="Calibri" w:hAnsi="Calibri" w:cstheme="majorBidi"/>
          <w:bCs/>
          <w:i/>
          <w:sz w:val="18"/>
          <w:szCs w:val="18"/>
          <w:lang w:bidi="ar-EG"/>
        </w:rPr>
        <w:t xml:space="preserve">Infections in patients with               febrile </w:t>
      </w:r>
      <w:proofErr w:type="spellStart"/>
      <w:r w:rsidRPr="005B192E">
        <w:rPr>
          <w:rFonts w:ascii="Calibri" w:hAnsi="Calibri" w:cstheme="majorBidi"/>
          <w:bCs/>
          <w:i/>
          <w:sz w:val="18"/>
          <w:szCs w:val="18"/>
          <w:lang w:bidi="ar-EG"/>
        </w:rPr>
        <w:t>neutropenia</w:t>
      </w:r>
      <w:proofErr w:type="spellEnd"/>
      <w:r w:rsidRPr="005B192E">
        <w:rPr>
          <w:rFonts w:ascii="Calibri" w:hAnsi="Calibri" w:cstheme="majorBidi"/>
          <w:bCs/>
          <w:i/>
          <w:sz w:val="18"/>
          <w:szCs w:val="18"/>
          <w:lang w:bidi="ar-EG"/>
        </w:rPr>
        <w:t>: epidemiology, microbiology, and risk stratification.</w:t>
      </w:r>
      <w:r w:rsidRPr="005B192E">
        <w:rPr>
          <w:rFonts w:ascii="Calibri" w:hAnsi="Calibri" w:cstheme="majorBidi"/>
          <w:bCs/>
          <w:sz w:val="18"/>
          <w:szCs w:val="18"/>
          <w:lang w:bidi="ar-EG"/>
        </w:rPr>
        <w:t xml:space="preserve"> Clinical Infectious Diseases, 2005. 40(Supplement 4): p. S240-S245.</w:t>
      </w:r>
    </w:p>
    <w:p w:rsidR="00893053" w:rsidRDefault="00AF45E1" w:rsidP="005B192E">
      <w:pPr>
        <w:rPr>
          <w:sz w:val="18"/>
          <w:szCs w:val="18"/>
          <w:lang w:bidi="ar-EG"/>
        </w:rPr>
      </w:pPr>
      <w:r>
        <w:rPr>
          <w:rFonts w:ascii="Calibri" w:eastAsia="Calibri" w:hAnsi="Calibri" w:cs="Calibri"/>
          <w:bCs/>
          <w:sz w:val="18"/>
          <w:szCs w:val="18"/>
        </w:rPr>
        <w:t>4</w:t>
      </w:r>
      <w:r w:rsidR="005B192E" w:rsidRPr="005B192E">
        <w:rPr>
          <w:rFonts w:ascii="Calibri" w:eastAsia="Calibri" w:hAnsi="Calibri" w:cs="Calibri"/>
          <w:bCs/>
          <w:sz w:val="18"/>
          <w:szCs w:val="18"/>
        </w:rPr>
        <w:t xml:space="preserve">. G. </w:t>
      </w:r>
      <w:proofErr w:type="spellStart"/>
      <w:r w:rsidR="005B192E" w:rsidRPr="005B192E">
        <w:rPr>
          <w:rFonts w:ascii="Calibri" w:eastAsia="Calibri" w:hAnsi="Calibri" w:cs="Calibri"/>
          <w:bCs/>
          <w:sz w:val="18"/>
          <w:szCs w:val="18"/>
        </w:rPr>
        <w:t>Freifeld</w:t>
      </w:r>
      <w:proofErr w:type="spellEnd"/>
      <w:r w:rsidR="005B192E" w:rsidRPr="005B192E">
        <w:rPr>
          <w:rFonts w:ascii="Calibri" w:eastAsia="Calibri" w:hAnsi="Calibri" w:cs="Calibri"/>
          <w:bCs/>
          <w:sz w:val="18"/>
          <w:szCs w:val="18"/>
        </w:rPr>
        <w:t xml:space="preserve">, E. J. Bow, K. A. </w:t>
      </w:r>
      <w:proofErr w:type="spellStart"/>
      <w:r w:rsidR="005B192E" w:rsidRPr="005B192E">
        <w:rPr>
          <w:rFonts w:ascii="Calibri" w:eastAsia="Calibri" w:hAnsi="Calibri" w:cs="Calibri"/>
          <w:bCs/>
          <w:sz w:val="18"/>
          <w:szCs w:val="18"/>
        </w:rPr>
        <w:t>Sepkowitz</w:t>
      </w:r>
      <w:proofErr w:type="spellEnd"/>
      <w:r w:rsidR="005B192E" w:rsidRPr="005B192E">
        <w:rPr>
          <w:rFonts w:ascii="Calibri" w:eastAsia="Calibri" w:hAnsi="Calibri" w:cs="Calibri"/>
          <w:bCs/>
          <w:sz w:val="18"/>
          <w:szCs w:val="18"/>
        </w:rPr>
        <w:t xml:space="preserve"> et al., “Clinical practice guideline for the use of antimicrobial agents in </w:t>
      </w:r>
      <w:proofErr w:type="spellStart"/>
      <w:r w:rsidR="005B192E" w:rsidRPr="005B192E">
        <w:rPr>
          <w:rFonts w:ascii="Calibri" w:eastAsia="Calibri" w:hAnsi="Calibri" w:cs="Calibri"/>
          <w:bCs/>
          <w:sz w:val="18"/>
          <w:szCs w:val="18"/>
        </w:rPr>
        <w:t>neutropenic</w:t>
      </w:r>
      <w:proofErr w:type="spellEnd"/>
      <w:r w:rsidR="005B192E" w:rsidRPr="005B192E">
        <w:rPr>
          <w:rFonts w:ascii="Calibri" w:eastAsia="Calibri" w:hAnsi="Calibri" w:cs="Calibri"/>
          <w:bCs/>
          <w:sz w:val="18"/>
          <w:szCs w:val="18"/>
        </w:rPr>
        <w:t xml:space="preserve"> patients with cancer: 2010 update by the infectious diseases society of </w:t>
      </w:r>
      <w:proofErr w:type="spellStart"/>
      <w:proofErr w:type="gramStart"/>
      <w:r w:rsidR="005B192E" w:rsidRPr="005B192E">
        <w:rPr>
          <w:rFonts w:ascii="Calibri" w:eastAsia="Calibri" w:hAnsi="Calibri" w:cs="Calibri"/>
          <w:bCs/>
          <w:sz w:val="18"/>
          <w:szCs w:val="18"/>
        </w:rPr>
        <w:t>america</w:t>
      </w:r>
      <w:proofErr w:type="gramEnd"/>
      <w:r w:rsidR="005B192E" w:rsidRPr="005B192E">
        <w:rPr>
          <w:rFonts w:ascii="Calibri" w:eastAsia="Calibri" w:hAnsi="Calibri" w:cs="Calibri"/>
          <w:bCs/>
          <w:sz w:val="18"/>
          <w:szCs w:val="18"/>
        </w:rPr>
        <w:t>,”Clinical</w:t>
      </w:r>
      <w:proofErr w:type="spellEnd"/>
      <w:r w:rsidR="005B192E" w:rsidRPr="005B192E">
        <w:rPr>
          <w:rFonts w:ascii="Calibri" w:eastAsia="Calibri" w:hAnsi="Calibri" w:cs="Calibri"/>
          <w:bCs/>
          <w:sz w:val="18"/>
          <w:szCs w:val="18"/>
        </w:rPr>
        <w:t xml:space="preserve"> Infectious Diseases, vol. 52, no. 4, pp. e56–e93, 2011. </w:t>
      </w:r>
    </w:p>
    <w:p w:rsidR="00AF45E1" w:rsidRDefault="00AF45E1" w:rsidP="00AF45E1">
      <w:pPr>
        <w:spacing w:before="92"/>
        <w:ind w:right="4234"/>
        <w:rPr>
          <w:rFonts w:ascii="Arial"/>
        </w:rPr>
      </w:pPr>
      <w:r w:rsidRPr="0025638A">
        <w:rPr>
          <w:noProof/>
        </w:rPr>
        <w:drawing>
          <wp:inline distT="0" distB="0" distL="0" distR="0">
            <wp:extent cx="712470" cy="555955"/>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715418" cy="558255"/>
                    </a:xfrm>
                    <a:prstGeom prst="rect">
                      <a:avLst/>
                    </a:prstGeom>
                    <a:noFill/>
                    <a:ln w="9525">
                      <a:noFill/>
                      <a:miter lim="800000"/>
                      <a:headEnd/>
                      <a:tailEnd/>
                    </a:ln>
                  </pic:spPr>
                </pic:pic>
              </a:graphicData>
            </a:graphic>
          </wp:inline>
        </w:drawing>
      </w:r>
      <w:r>
        <w:rPr>
          <w:rFonts w:ascii="Arial"/>
          <w:color w:val="BF5A14"/>
        </w:rPr>
        <w:t xml:space="preserve">Biography </w:t>
      </w:r>
    </w:p>
    <w:p w:rsidR="00AF45E1" w:rsidRPr="00653A27" w:rsidRDefault="00AF45E1" w:rsidP="00AF45E1">
      <w:pPr>
        <w:ind w:right="-63"/>
        <w:jc w:val="both"/>
        <w:rPr>
          <w:sz w:val="18"/>
          <w:szCs w:val="18"/>
        </w:rPr>
      </w:pPr>
      <w:proofErr w:type="spellStart"/>
      <w:r w:rsidRPr="00653A27">
        <w:rPr>
          <w:sz w:val="18"/>
          <w:szCs w:val="18"/>
        </w:rPr>
        <w:t>AbdelAzim</w:t>
      </w:r>
      <w:proofErr w:type="spellEnd"/>
      <w:r w:rsidRPr="00653A27">
        <w:rPr>
          <w:sz w:val="18"/>
          <w:szCs w:val="18"/>
        </w:rPr>
        <w:t xml:space="preserve"> </w:t>
      </w:r>
      <w:proofErr w:type="spellStart"/>
      <w:r w:rsidRPr="00653A27">
        <w:rPr>
          <w:sz w:val="18"/>
          <w:szCs w:val="18"/>
        </w:rPr>
        <w:t>Assi</w:t>
      </w:r>
      <w:proofErr w:type="spellEnd"/>
      <w:r w:rsidRPr="00653A27">
        <w:rPr>
          <w:sz w:val="18"/>
          <w:szCs w:val="18"/>
        </w:rPr>
        <w:t xml:space="preserve"> has completed his PhD at the age of 34 years from Erlangen-Nurnberg University, Germany and </w:t>
      </w:r>
      <w:proofErr w:type="spellStart"/>
      <w:r w:rsidRPr="00653A27">
        <w:rPr>
          <w:sz w:val="18"/>
          <w:szCs w:val="18"/>
        </w:rPr>
        <w:t>Assiut</w:t>
      </w:r>
      <w:proofErr w:type="spellEnd"/>
      <w:r w:rsidRPr="00653A27">
        <w:rPr>
          <w:sz w:val="18"/>
          <w:szCs w:val="18"/>
        </w:rPr>
        <w:t xml:space="preserve"> University, Egypt. He conducted   postdoctoral studies at Heidelberg University Germany.  He worked as Research Scientist in </w:t>
      </w:r>
      <w:proofErr w:type="spellStart"/>
      <w:r w:rsidRPr="00653A27">
        <w:rPr>
          <w:sz w:val="18"/>
          <w:szCs w:val="18"/>
        </w:rPr>
        <w:t>neuropharmacology</w:t>
      </w:r>
      <w:proofErr w:type="spellEnd"/>
      <w:r w:rsidRPr="00653A27">
        <w:rPr>
          <w:sz w:val="18"/>
          <w:szCs w:val="18"/>
        </w:rPr>
        <w:t xml:space="preserve">, </w:t>
      </w:r>
      <w:proofErr w:type="spellStart"/>
      <w:r w:rsidRPr="00653A27">
        <w:rPr>
          <w:sz w:val="18"/>
          <w:szCs w:val="18"/>
        </w:rPr>
        <w:t>neuroanatomy</w:t>
      </w:r>
      <w:proofErr w:type="spellEnd"/>
      <w:r w:rsidRPr="00653A27">
        <w:rPr>
          <w:sz w:val="18"/>
          <w:szCs w:val="18"/>
        </w:rPr>
        <w:t xml:space="preserve"> and drug </w:t>
      </w:r>
      <w:proofErr w:type="gramStart"/>
      <w:r w:rsidRPr="00653A27">
        <w:rPr>
          <w:sz w:val="18"/>
          <w:szCs w:val="18"/>
        </w:rPr>
        <w:t>abuse  at</w:t>
      </w:r>
      <w:proofErr w:type="gramEnd"/>
      <w:r w:rsidRPr="00653A27">
        <w:rPr>
          <w:sz w:val="18"/>
          <w:szCs w:val="18"/>
        </w:rPr>
        <w:t xml:space="preserve"> the Department of Pharmacology, School of Medicine, University of Washington, Seattle, USA  as well as at the </w:t>
      </w:r>
      <w:r w:rsidRPr="00653A27">
        <w:rPr>
          <w:bCs/>
          <w:iCs/>
          <w:sz w:val="18"/>
          <w:szCs w:val="18"/>
        </w:rPr>
        <w:t>JLC-BBRI, Neuroscience/Drug Abuse Research Center, North Carolina Central University, USA</w:t>
      </w:r>
      <w:r w:rsidRPr="00653A27">
        <w:rPr>
          <w:sz w:val="18"/>
          <w:szCs w:val="18"/>
        </w:rPr>
        <w:t xml:space="preserve"> between 1999-2002 (supported by international fellowships from the National Institute on Drug Abuse, NIDA  and from the National Institute of Neurological Disorders and Stroke, USA).  </w:t>
      </w:r>
      <w:r w:rsidRPr="00653A27">
        <w:rPr>
          <w:sz w:val="18"/>
          <w:szCs w:val="18"/>
          <w:lang w:val="en-IN"/>
        </w:rPr>
        <w:t xml:space="preserve">He is </w:t>
      </w:r>
      <w:proofErr w:type="gramStart"/>
      <w:r w:rsidRPr="00653A27">
        <w:rPr>
          <w:sz w:val="18"/>
          <w:szCs w:val="18"/>
          <w:lang w:val="en-IN"/>
        </w:rPr>
        <w:t>now  a</w:t>
      </w:r>
      <w:proofErr w:type="gramEnd"/>
      <w:r w:rsidRPr="00653A27">
        <w:rPr>
          <w:sz w:val="18"/>
          <w:szCs w:val="18"/>
        </w:rPr>
        <w:t xml:space="preserve"> professor of pharmacology, toxicology, clinical pharmacy, clinical pharmacology, first aid and biological assays at the Department of pharmacology, Faculty of Medicine, </w:t>
      </w:r>
      <w:proofErr w:type="spellStart"/>
      <w:r w:rsidRPr="00653A27">
        <w:rPr>
          <w:sz w:val="18"/>
          <w:szCs w:val="18"/>
        </w:rPr>
        <w:t>Assiut</w:t>
      </w:r>
      <w:proofErr w:type="spellEnd"/>
      <w:r w:rsidRPr="00653A27">
        <w:rPr>
          <w:sz w:val="18"/>
          <w:szCs w:val="18"/>
        </w:rPr>
        <w:t xml:space="preserve"> University, Egypt.  He has published more than 35 papers in international and local journals and has been serving as an editorial board member of about 3 places.</w:t>
      </w:r>
    </w:p>
    <w:p w:rsidR="00AF45E1" w:rsidRPr="00653A27" w:rsidRDefault="00AF45E1" w:rsidP="00AF45E1">
      <w:pPr>
        <w:autoSpaceDE w:val="0"/>
        <w:autoSpaceDN w:val="0"/>
        <w:adjustRightInd w:val="0"/>
        <w:rPr>
          <w:rFonts w:eastAsia="Times New Roman"/>
          <w:sz w:val="18"/>
          <w:szCs w:val="18"/>
          <w:lang w:val="en-NZ" w:eastAsia="it-IT"/>
        </w:rPr>
      </w:pPr>
      <w:r>
        <w:rPr>
          <w:rFonts w:ascii="Arial"/>
          <w:sz w:val="14"/>
        </w:rPr>
        <w:t>Email</w:t>
      </w:r>
      <w:proofErr w:type="gramStart"/>
      <w:r>
        <w:rPr>
          <w:rFonts w:ascii="Arial"/>
          <w:sz w:val="14"/>
        </w:rPr>
        <w:t xml:space="preserve">: </w:t>
      </w:r>
      <w:r w:rsidRPr="00653A27">
        <w:rPr>
          <w:rFonts w:eastAsia="Times New Roman"/>
          <w:sz w:val="18"/>
          <w:szCs w:val="18"/>
          <w:lang w:val="en-NZ" w:eastAsia="it-IT"/>
        </w:rPr>
        <w:t>:</w:t>
      </w:r>
      <w:proofErr w:type="gramEnd"/>
      <w:r w:rsidRPr="00653A27">
        <w:rPr>
          <w:rFonts w:eastAsia="Times New Roman"/>
          <w:sz w:val="18"/>
          <w:szCs w:val="18"/>
          <w:lang w:val="en-NZ" w:eastAsia="it-IT"/>
        </w:rPr>
        <w:t xml:space="preserve"> </w:t>
      </w:r>
      <w:hyperlink r:id="rId6" w:history="1">
        <w:r w:rsidRPr="00653A27">
          <w:rPr>
            <w:rStyle w:val="Hyperlink"/>
            <w:rFonts w:eastAsia="Times New Roman"/>
            <w:sz w:val="18"/>
            <w:szCs w:val="18"/>
            <w:lang w:val="en-NZ" w:eastAsia="it-IT"/>
          </w:rPr>
          <w:t>assi001@hotmail.com</w:t>
        </w:r>
      </w:hyperlink>
    </w:p>
    <w:p w:rsidR="00AF45E1" w:rsidRDefault="00AF45E1" w:rsidP="00AF45E1">
      <w:pPr>
        <w:pStyle w:val="BodyText"/>
        <w:spacing w:before="3"/>
        <w:rPr>
          <w:rFonts w:ascii="Minion Pro"/>
          <w:sz w:val="26"/>
        </w:rPr>
      </w:pPr>
    </w:p>
    <w:p w:rsidR="00AF45E1" w:rsidRPr="005B192E" w:rsidRDefault="00AF45E1" w:rsidP="00AF45E1">
      <w:pPr>
        <w:rPr>
          <w:sz w:val="18"/>
          <w:szCs w:val="18"/>
          <w:lang w:bidi="ar-EG"/>
        </w:rPr>
      </w:pPr>
    </w:p>
    <w:sectPr w:rsidR="00AF45E1" w:rsidRPr="005B192E" w:rsidSect="00A355D6">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928EE"/>
    <w:multiLevelType w:val="hybridMultilevel"/>
    <w:tmpl w:val="F2D099E8"/>
    <w:lvl w:ilvl="0" w:tplc="0409000F">
      <w:start w:val="1"/>
      <w:numFmt w:val="decimal"/>
      <w:lvlText w:val="%1."/>
      <w:lvlJc w:val="left"/>
      <w:pPr>
        <w:ind w:left="360" w:hanging="360"/>
      </w:pPr>
    </w:lvl>
    <w:lvl w:ilvl="1" w:tplc="04090019" w:tentative="1">
      <w:start w:val="1"/>
      <w:numFmt w:val="lowerLetter"/>
      <w:lvlText w:val="%2."/>
      <w:lvlJc w:val="left"/>
      <w:pPr>
        <w:ind w:left="-120" w:hanging="360"/>
      </w:pPr>
    </w:lvl>
    <w:lvl w:ilvl="2" w:tplc="0409001B" w:tentative="1">
      <w:start w:val="1"/>
      <w:numFmt w:val="lowerRoman"/>
      <w:lvlText w:val="%3."/>
      <w:lvlJc w:val="right"/>
      <w:pPr>
        <w:ind w:left="600" w:hanging="180"/>
      </w:pPr>
    </w:lvl>
    <w:lvl w:ilvl="3" w:tplc="0409000F" w:tentative="1">
      <w:start w:val="1"/>
      <w:numFmt w:val="decimal"/>
      <w:lvlText w:val="%4."/>
      <w:lvlJc w:val="left"/>
      <w:pPr>
        <w:ind w:left="1320" w:hanging="360"/>
      </w:pPr>
    </w:lvl>
    <w:lvl w:ilvl="4" w:tplc="04090019" w:tentative="1">
      <w:start w:val="1"/>
      <w:numFmt w:val="lowerLetter"/>
      <w:lvlText w:val="%5."/>
      <w:lvlJc w:val="left"/>
      <w:pPr>
        <w:ind w:left="2040" w:hanging="360"/>
      </w:pPr>
    </w:lvl>
    <w:lvl w:ilvl="5" w:tplc="0409001B" w:tentative="1">
      <w:start w:val="1"/>
      <w:numFmt w:val="lowerRoman"/>
      <w:lvlText w:val="%6."/>
      <w:lvlJc w:val="right"/>
      <w:pPr>
        <w:ind w:left="2760" w:hanging="180"/>
      </w:pPr>
    </w:lvl>
    <w:lvl w:ilvl="6" w:tplc="0409000F" w:tentative="1">
      <w:start w:val="1"/>
      <w:numFmt w:val="decimal"/>
      <w:lvlText w:val="%7."/>
      <w:lvlJc w:val="left"/>
      <w:pPr>
        <w:ind w:left="3480" w:hanging="360"/>
      </w:pPr>
    </w:lvl>
    <w:lvl w:ilvl="7" w:tplc="04090019" w:tentative="1">
      <w:start w:val="1"/>
      <w:numFmt w:val="lowerLetter"/>
      <w:lvlText w:val="%8."/>
      <w:lvlJc w:val="left"/>
      <w:pPr>
        <w:ind w:left="4200" w:hanging="360"/>
      </w:pPr>
    </w:lvl>
    <w:lvl w:ilvl="8" w:tplc="0409001B" w:tentative="1">
      <w:start w:val="1"/>
      <w:numFmt w:val="lowerRoman"/>
      <w:lvlText w:val="%9."/>
      <w:lvlJc w:val="right"/>
      <w:pPr>
        <w:ind w:left="49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B192E"/>
    <w:rsid w:val="00541746"/>
    <w:rsid w:val="005B192E"/>
    <w:rsid w:val="00893053"/>
    <w:rsid w:val="00A355D6"/>
    <w:rsid w:val="00AF45E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92E"/>
    <w:pPr>
      <w:spacing w:after="160" w:line="259"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192E"/>
    <w:pPr>
      <w:ind w:left="720"/>
      <w:contextualSpacing/>
    </w:pPr>
  </w:style>
  <w:style w:type="paragraph" w:styleId="BodyText">
    <w:name w:val="Body Text"/>
    <w:basedOn w:val="Normal"/>
    <w:link w:val="BodyTextChar"/>
    <w:uiPriority w:val="1"/>
    <w:qFormat/>
    <w:rsid w:val="00AF45E1"/>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AF45E1"/>
    <w:rPr>
      <w:rFonts w:ascii="Tw Cen MT" w:eastAsia="Tw Cen MT" w:hAnsi="Tw Cen MT" w:cs="Tw Cen MT"/>
      <w:sz w:val="18"/>
      <w:szCs w:val="18"/>
    </w:rPr>
  </w:style>
  <w:style w:type="character" w:styleId="Hyperlink">
    <w:name w:val="Hyperlink"/>
    <w:basedOn w:val="DefaultParagraphFont"/>
    <w:uiPriority w:val="99"/>
    <w:unhideWhenUsed/>
    <w:rsid w:val="00AF45E1"/>
    <w:rPr>
      <w:color w:val="0000FF" w:themeColor="hyperlink"/>
      <w:u w:val="single"/>
    </w:rPr>
  </w:style>
  <w:style w:type="paragraph" w:styleId="BalloonText">
    <w:name w:val="Balloon Text"/>
    <w:basedOn w:val="Normal"/>
    <w:link w:val="BalloonTextChar"/>
    <w:uiPriority w:val="99"/>
    <w:semiHidden/>
    <w:unhideWhenUsed/>
    <w:rsid w:val="00AF45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45E1"/>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ssi001@hotmail.com"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496</Words>
  <Characters>2828</Characters>
  <Application>Microsoft Office Word</Application>
  <DocSecurity>0</DocSecurity>
  <Lines>23</Lines>
  <Paragraphs>6</Paragraphs>
  <ScaleCrop>false</ScaleCrop>
  <Company/>
  <LinksUpToDate>false</LinksUpToDate>
  <CharactersWithSpaces>3318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Mohamed</dc:creator>
  <cp:lastModifiedBy>Mohamed</cp:lastModifiedBy>
  <cp:revision>3</cp:revision>
  <dcterms:created xsi:type="dcterms:W3CDTF">2018-04-15T03:06:00Z</dcterms:created>
  <dcterms:modified xsi:type="dcterms:W3CDTF">2018-04-15T03:16:00Z</dcterms:modified>
</cp:coreProperties>
</file>