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638A" w:rsidRPr="00DD6CD0" w:rsidRDefault="0025638A" w:rsidP="0025638A">
      <w:pPr>
        <w:rPr>
          <w:rFonts w:ascii="Times New Roman" w:hAnsi="Times New Roman" w:cs="Times New Roman"/>
          <w:b/>
          <w:bCs/>
          <w:color w:val="0070C0"/>
          <w:sz w:val="28"/>
          <w:szCs w:val="28"/>
        </w:rPr>
      </w:pPr>
      <w:r w:rsidRPr="00DD6CD0">
        <w:rPr>
          <w:rFonts w:ascii="Times New Roman" w:hAnsi="Times New Roman" w:cs="Times New Roman"/>
          <w:b/>
          <w:bCs/>
          <w:color w:val="0070C0"/>
          <w:sz w:val="28"/>
          <w:szCs w:val="28"/>
        </w:rPr>
        <w:t>Neuroprotective Effects of Pramipexole on Rotenone-Treated Mice</w:t>
      </w:r>
    </w:p>
    <w:p w:rsidR="0025638A" w:rsidRPr="0025638A" w:rsidRDefault="0025638A" w:rsidP="0025638A">
      <w:pPr>
        <w:rPr>
          <w:rFonts w:ascii="Times New Roman" w:hAnsi="Times New Roman" w:cs="Times New Roman"/>
        </w:rPr>
      </w:pPr>
      <w:r w:rsidRPr="0025638A">
        <w:rPr>
          <w:rFonts w:ascii="Times New Roman" w:hAnsi="Times New Roman" w:cs="Times New Roman"/>
        </w:rPr>
        <w:t>Abdel-Azim Assi and    Najla’a Al-Shaibani</w:t>
      </w:r>
    </w:p>
    <w:p w:rsidR="0025638A" w:rsidRPr="0025638A" w:rsidRDefault="0025638A" w:rsidP="0025638A">
      <w:pPr>
        <w:rPr>
          <w:rFonts w:ascii="Times New Roman" w:hAnsi="Times New Roman" w:cs="Times New Roman"/>
        </w:rPr>
      </w:pPr>
      <w:r w:rsidRPr="0025638A">
        <w:rPr>
          <w:rFonts w:ascii="Times New Roman" w:hAnsi="Times New Roman" w:cs="Times New Roman"/>
        </w:rPr>
        <w:t>Dept. of  Pharmacology, Faculty of Medicinem, Assiut University (Egypt)</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5638A" w:rsidRDefault="00A9710C" w:rsidP="0025638A">
      <w:pPr>
        <w:pStyle w:val="Heading3"/>
        <w:spacing w:before="147"/>
        <w:jc w:val="both"/>
        <w:rPr>
          <w:rFonts w:ascii="Times New Roman" w:hAnsi="Times New Roman" w:cs="Times New Roman"/>
          <w:sz w:val="18"/>
          <w:szCs w:val="18"/>
        </w:rPr>
      </w:pPr>
      <w:r>
        <w:rPr>
          <w:color w:val="BF5A14"/>
        </w:rPr>
        <w:lastRenderedPageBreak/>
        <w:t>Abstract</w:t>
      </w:r>
      <w:r w:rsidR="00404E5B">
        <w:rPr>
          <w:color w:val="BF5A14"/>
        </w:rPr>
        <w:t xml:space="preserve"> </w:t>
      </w:r>
    </w:p>
    <w:p w:rsidR="0025638A" w:rsidRPr="0025638A" w:rsidRDefault="0025638A" w:rsidP="0025638A">
      <w:pPr>
        <w:pStyle w:val="Heading3"/>
        <w:spacing w:before="147"/>
        <w:jc w:val="both"/>
        <w:rPr>
          <w:rFonts w:ascii="Times New Roman" w:hAnsi="Times New Roman" w:cs="Times New Roman"/>
          <w:b w:val="0"/>
          <w:bCs w:val="0"/>
          <w:sz w:val="18"/>
          <w:szCs w:val="18"/>
        </w:rPr>
      </w:pPr>
      <w:r w:rsidRPr="0025638A">
        <w:rPr>
          <w:rFonts w:ascii="Times New Roman" w:hAnsi="Times New Roman" w:cs="Times New Roman"/>
          <w:b w:val="0"/>
          <w:bCs w:val="0"/>
          <w:sz w:val="18"/>
          <w:szCs w:val="18"/>
        </w:rPr>
        <w:t>Pramipexole, an agonist for dopamine (DA) at D</w:t>
      </w:r>
      <w:r w:rsidRPr="0025638A">
        <w:rPr>
          <w:rFonts w:ascii="Times New Roman" w:hAnsi="Times New Roman" w:cs="Times New Roman"/>
          <w:b w:val="0"/>
          <w:bCs w:val="0"/>
          <w:sz w:val="18"/>
          <w:szCs w:val="18"/>
          <w:vertAlign w:val="subscript"/>
        </w:rPr>
        <w:t>2</w:t>
      </w:r>
      <w:r w:rsidRPr="0025638A">
        <w:rPr>
          <w:rFonts w:ascii="Times New Roman" w:hAnsi="Times New Roman" w:cs="Times New Roman"/>
          <w:b w:val="0"/>
          <w:bCs w:val="0"/>
          <w:sz w:val="18"/>
          <w:szCs w:val="18"/>
        </w:rPr>
        <w:t>/D</w:t>
      </w:r>
      <w:r w:rsidRPr="0025638A">
        <w:rPr>
          <w:rFonts w:ascii="Times New Roman" w:hAnsi="Times New Roman" w:cs="Times New Roman"/>
          <w:b w:val="0"/>
          <w:bCs w:val="0"/>
          <w:sz w:val="18"/>
          <w:szCs w:val="18"/>
          <w:vertAlign w:val="subscript"/>
        </w:rPr>
        <w:t>3</w:t>
      </w:r>
      <w:r w:rsidRPr="0025638A">
        <w:rPr>
          <w:rFonts w:ascii="Times New Roman" w:hAnsi="Times New Roman" w:cs="Times New Roman"/>
          <w:b w:val="0"/>
          <w:bCs w:val="0"/>
          <w:sz w:val="18"/>
          <w:szCs w:val="18"/>
        </w:rPr>
        <w:t xml:space="preserve">-receptors, has been used to treat both early and advanced Parkinson’s disease (PD). The present study was to evaluate the neuroprotective effect of pramipexole (PPX) in a DA neuron degeneration model of PD induced by rotenone. Thirty six male mice were used and divided into 3 equal groups. The first group, the control group, received only sunflower oil intraperitoneally (i.p.) once daily at a volume of 4 ml/kg for 49 days. The second group was given rotenone (2 mg/kg/day; i.p.) for 49 days. The third group was given pramipexole (1 mg/kg, i.p.) </w:t>
      </w:r>
      <w:r w:rsidRPr="0025638A">
        <w:rPr>
          <w:rFonts w:ascii="Times New Roman" w:hAnsi="Times New Roman" w:cs="Times New Roman"/>
          <w:b w:val="0"/>
          <w:bCs w:val="0"/>
          <w:sz w:val="18"/>
          <w:szCs w:val="18"/>
          <w:lang w:val="en-AU"/>
        </w:rPr>
        <w:t xml:space="preserve">which was administered 30 min prior to rotenone </w:t>
      </w:r>
      <w:r w:rsidRPr="0025638A">
        <w:rPr>
          <w:rFonts w:ascii="Times New Roman" w:hAnsi="Times New Roman" w:cs="Times New Roman"/>
          <w:b w:val="0"/>
          <w:bCs w:val="0"/>
          <w:sz w:val="18"/>
          <w:szCs w:val="18"/>
        </w:rPr>
        <w:t>(2 mg/kg/day; i.p.) for 49 days. Behavioral tests were performed a day prior to drug administration and then once weekly along the duration of drugs or vehicle administration.</w:t>
      </w:r>
      <w:r w:rsidRPr="0025638A">
        <w:rPr>
          <w:b w:val="0"/>
          <w:bCs w:val="0"/>
          <w:sz w:val="18"/>
          <w:szCs w:val="18"/>
        </w:rPr>
        <w:t xml:space="preserve"> </w:t>
      </w:r>
      <w:r w:rsidRPr="0025638A">
        <w:rPr>
          <w:rFonts w:ascii="Times New Roman" w:hAnsi="Times New Roman" w:cs="Times New Roman"/>
          <w:b w:val="0"/>
          <w:bCs w:val="0"/>
          <w:sz w:val="18"/>
          <w:szCs w:val="18"/>
        </w:rPr>
        <w:t>At the end of the 49 days all animals were sacrificed and their midbrains were subjected to immunohistochemical analysis for dopaminergic neurons staining for anti-TH antibodies. In addition midbrain tissues were obtained for biochemical measurements. Behavioural test showed improvement of mice activity in the pramipexole group.</w:t>
      </w:r>
      <w:r w:rsidRPr="0025638A">
        <w:rPr>
          <w:b w:val="0"/>
          <w:bCs w:val="0"/>
          <w:sz w:val="18"/>
          <w:szCs w:val="18"/>
        </w:rPr>
        <w:t xml:space="preserve"> </w:t>
      </w:r>
      <w:r w:rsidRPr="0025638A">
        <w:rPr>
          <w:rFonts w:ascii="Times New Roman" w:hAnsi="Times New Roman" w:cs="Times New Roman"/>
          <w:b w:val="0"/>
          <w:bCs w:val="0"/>
          <w:sz w:val="18"/>
          <w:szCs w:val="18"/>
        </w:rPr>
        <w:t xml:space="preserve">Immunohistochemistry results revealed that the rotenone-induced loss of TH-immunopositive neurons (DA neurons) in the SNpc was inhibited by the pramipexole treatment. Biochemical measurements demonstrated that PPX treatment significantly reversed the rotenone-induced decrease in midbrain DA level. In addition pramipexole attenuate the decrease in total antioxidant capacity as well as the increase in the malondialdehyde level and nitric oxide </w:t>
      </w:r>
      <w:r w:rsidRPr="0025638A">
        <w:rPr>
          <w:rFonts w:ascii="Times New Roman" w:hAnsi="Times New Roman" w:cs="Times New Roman"/>
          <w:b w:val="0"/>
          <w:bCs w:val="0"/>
          <w:sz w:val="18"/>
          <w:szCs w:val="18"/>
        </w:rPr>
        <w:lastRenderedPageBreak/>
        <w:t>generation induced by chronic rotenone administration. These results suggest a possible beneficial effect of pramipexole against the PD-like disorder induced by the chronic intraperitoneal administration of rotenone. This neuroprotective effect mediated even in part by the antioxidant properties of pramipexole.</w:t>
      </w:r>
    </w:p>
    <w:p w:rsidR="00AE3E37" w:rsidRPr="0025638A" w:rsidRDefault="00AE3E37" w:rsidP="008756E6">
      <w:pPr>
        <w:tabs>
          <w:tab w:val="left" w:pos="384"/>
        </w:tabs>
        <w:ind w:right="117"/>
      </w:pPr>
    </w:p>
    <w:p w:rsidR="0025638A" w:rsidRPr="00653A27" w:rsidRDefault="0025638A" w:rsidP="0025638A">
      <w:pPr>
        <w:jc w:val="both"/>
        <w:rPr>
          <w:b/>
          <w:color w:val="0070C0"/>
          <w:sz w:val="18"/>
          <w:szCs w:val="18"/>
          <w:u w:val="single"/>
        </w:rPr>
      </w:pPr>
      <w:r w:rsidRPr="00653A27">
        <w:rPr>
          <w:b/>
          <w:bCs/>
          <w:color w:val="0070C0"/>
          <w:sz w:val="18"/>
          <w:szCs w:val="18"/>
          <w:u w:val="single"/>
        </w:rPr>
        <w:t>References</w:t>
      </w:r>
      <w:r w:rsidRPr="00653A27">
        <w:rPr>
          <w:b/>
          <w:color w:val="0070C0"/>
          <w:sz w:val="18"/>
          <w:szCs w:val="18"/>
          <w:u w:val="single"/>
        </w:rPr>
        <w:t>:</w:t>
      </w:r>
    </w:p>
    <w:p w:rsidR="0025638A" w:rsidRPr="00653A27" w:rsidRDefault="0025638A" w:rsidP="0025638A">
      <w:pPr>
        <w:pStyle w:val="ListParagraph"/>
        <w:widowControl/>
        <w:numPr>
          <w:ilvl w:val="0"/>
          <w:numId w:val="4"/>
        </w:numPr>
        <w:spacing w:before="0" w:line="240" w:lineRule="auto"/>
        <w:contextualSpacing/>
        <w:rPr>
          <w:rFonts w:ascii="Tw Cen MT" w:hAnsi="Tw Cen MT"/>
          <w:bCs/>
          <w:sz w:val="18"/>
          <w:szCs w:val="18"/>
        </w:rPr>
      </w:pPr>
      <w:r w:rsidRPr="00653A27">
        <w:rPr>
          <w:rFonts w:ascii="Tw Cen MT" w:hAnsi="Tw Cen MT"/>
          <w:bCs/>
          <w:sz w:val="18"/>
          <w:szCs w:val="18"/>
        </w:rPr>
        <w:t>Bayles K.A., Kim E.S. Improving the functioning of individuals with Alzheimer’s disease: emergence of behavioral interventions. Journal of Communication Disorders 2003 ; 36 : 327–343.</w:t>
      </w:r>
    </w:p>
    <w:p w:rsidR="0025638A" w:rsidRPr="00653A27" w:rsidRDefault="0025638A" w:rsidP="0025638A">
      <w:pPr>
        <w:pStyle w:val="ListParagraph"/>
        <w:widowControl/>
        <w:numPr>
          <w:ilvl w:val="0"/>
          <w:numId w:val="4"/>
        </w:numPr>
        <w:spacing w:before="0" w:line="240" w:lineRule="auto"/>
        <w:contextualSpacing/>
        <w:rPr>
          <w:rFonts w:ascii="Tw Cen MT" w:hAnsi="Tw Cen MT"/>
          <w:bCs/>
          <w:sz w:val="18"/>
          <w:szCs w:val="18"/>
          <w:rtl/>
          <w:lang w:bidi="ar-EG"/>
        </w:rPr>
      </w:pPr>
      <w:r w:rsidRPr="00653A27">
        <w:rPr>
          <w:rFonts w:ascii="Tw Cen MT" w:hAnsi="Tw Cen MT"/>
          <w:bCs/>
          <w:sz w:val="18"/>
          <w:szCs w:val="18"/>
        </w:rPr>
        <w:t>Evans D.A., Funkenstein H., Albert M.S., Scherr P.A., Cook N.R., Chown M.J., Prevalence of Alzheimer's disease in a community population of older persons: Higher than previously reported. Journal of the American Medical Association 1989; 262 : 2551–2556.</w:t>
      </w:r>
    </w:p>
    <w:p w:rsidR="0025638A" w:rsidRPr="00653A27" w:rsidRDefault="0025638A" w:rsidP="0025638A">
      <w:pPr>
        <w:pStyle w:val="ListParagraph"/>
        <w:widowControl/>
        <w:numPr>
          <w:ilvl w:val="0"/>
          <w:numId w:val="4"/>
        </w:numPr>
        <w:spacing w:before="0" w:line="240" w:lineRule="auto"/>
        <w:contextualSpacing/>
        <w:rPr>
          <w:rFonts w:ascii="Tw Cen MT" w:hAnsi="Tw Cen MT"/>
          <w:bCs/>
          <w:sz w:val="18"/>
          <w:szCs w:val="18"/>
          <w:rtl/>
          <w:lang w:bidi="ar-EG"/>
        </w:rPr>
      </w:pPr>
      <w:r w:rsidRPr="00653A27">
        <w:rPr>
          <w:rFonts w:ascii="Tw Cen MT" w:hAnsi="Tw Cen MT"/>
          <w:bCs/>
          <w:sz w:val="18"/>
          <w:szCs w:val="18"/>
        </w:rPr>
        <w:t>Gallagher M., Colombo PJ. Ageing: the cholinergic hypothesis of cognitive decline. Current Opinion in Neurobiology 1995; 5: 161-168.</w:t>
      </w:r>
    </w:p>
    <w:p w:rsidR="0025638A" w:rsidRPr="00653A27" w:rsidRDefault="0025638A" w:rsidP="0025638A">
      <w:pPr>
        <w:pStyle w:val="ListParagraph"/>
        <w:widowControl/>
        <w:numPr>
          <w:ilvl w:val="0"/>
          <w:numId w:val="4"/>
        </w:numPr>
        <w:spacing w:before="0" w:line="240" w:lineRule="auto"/>
        <w:contextualSpacing/>
        <w:rPr>
          <w:rFonts w:ascii="Tw Cen MT" w:hAnsi="Tw Cen MT"/>
          <w:bCs/>
          <w:sz w:val="18"/>
          <w:szCs w:val="18"/>
          <w:rtl/>
          <w:lang w:bidi="ar-EG"/>
        </w:rPr>
      </w:pPr>
      <w:r w:rsidRPr="00653A27">
        <w:rPr>
          <w:rFonts w:ascii="Tw Cen MT" w:hAnsi="Tw Cen MT"/>
          <w:bCs/>
          <w:sz w:val="18"/>
          <w:szCs w:val="18"/>
        </w:rPr>
        <w:t>Jeste D.V., Meeks T.W., Kim D.S., Zubenko G.S. Research agenda for DSM-V: Diagnostic categories and criteria for neuropsychiatry syndromes in dementia. Journal of Geriatric Psychiatry and Neurology 2006;19:160–171.</w:t>
      </w:r>
    </w:p>
    <w:p w:rsidR="00AE3E37" w:rsidRDefault="0025638A" w:rsidP="0025638A">
      <w:pPr>
        <w:pStyle w:val="ListParagraph"/>
        <w:widowControl/>
        <w:numPr>
          <w:ilvl w:val="0"/>
          <w:numId w:val="4"/>
        </w:numPr>
        <w:spacing w:before="0" w:line="240" w:lineRule="auto"/>
        <w:contextualSpacing/>
        <w:sectPr w:rsidR="00AE3E37">
          <w:type w:val="continuous"/>
          <w:pgSz w:w="11910" w:h="16840"/>
          <w:pgMar w:top="1740" w:right="600" w:bottom="840" w:left="620" w:header="720" w:footer="720" w:gutter="0"/>
          <w:cols w:num="2" w:space="720" w:equalWidth="0">
            <w:col w:w="5214" w:space="138"/>
            <w:col w:w="5338"/>
          </w:cols>
        </w:sectPr>
      </w:pPr>
      <w:r w:rsidRPr="00653A27">
        <w:rPr>
          <w:rFonts w:ascii="Tw Cen MT" w:hAnsi="Tw Cen MT"/>
          <w:bCs/>
          <w:sz w:val="18"/>
          <w:szCs w:val="18"/>
        </w:rPr>
        <w:t>Lehericy S., Hirsch E. C., Cervera-Pierot P., Hersh L. B., Bakchine S., Piette F., Duyckaerts C., Hauw J.J., Javoy-Agid F. Agid Y. Heterogeneity and selectivity of the degeneration of cholinergic neurons in the basal forebrain of patients with Alzheimer’s disease. J. Comparative Neurology 1993 ; 330 : 15–31.</w:t>
      </w:r>
    </w:p>
    <w:p w:rsidR="00AE3E37" w:rsidRDefault="00AE3E37">
      <w:pPr>
        <w:pStyle w:val="BodyText"/>
        <w:rPr>
          <w:rFonts w:ascii="Calibri"/>
          <w:sz w:val="20"/>
        </w:rPr>
      </w:pPr>
    </w:p>
    <w:p w:rsidR="00AE3E37" w:rsidRDefault="001A3D2B">
      <w:pPr>
        <w:pStyle w:val="BodyText"/>
        <w:spacing w:line="40" w:lineRule="exact"/>
        <w:ind w:left="2202"/>
        <w:rPr>
          <w:rFonts w:ascii="Calibri"/>
          <w:sz w:val="4"/>
        </w:rPr>
      </w:pPr>
      <w:r w:rsidRPr="001A3D2B">
        <w:rPr>
          <w:rFonts w:ascii="Calibri"/>
          <w:noProof/>
          <w:sz w:val="4"/>
          <w:lang w:val="en-IN" w:eastAsia="en-IN"/>
        </w:rPr>
      </w:r>
      <w:r w:rsidRPr="001A3D2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25638A" w:rsidP="0025638A">
      <w:pPr>
        <w:spacing w:before="92"/>
        <w:ind w:right="4234"/>
        <w:rPr>
          <w:rFonts w:ascii="Arial"/>
        </w:rPr>
      </w:pPr>
      <w:r w:rsidRPr="0025638A">
        <w:rPr>
          <w:noProof/>
        </w:rPr>
        <w:drawing>
          <wp:inline distT="0" distB="0" distL="0" distR="0">
            <wp:extent cx="712470" cy="55595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715418" cy="558255"/>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25638A" w:rsidRPr="00653A27" w:rsidRDefault="0025638A" w:rsidP="0025638A">
      <w:pPr>
        <w:ind w:right="-63"/>
        <w:jc w:val="both"/>
        <w:rPr>
          <w:sz w:val="18"/>
          <w:szCs w:val="18"/>
        </w:rPr>
      </w:pPr>
      <w:r w:rsidRPr="00653A27">
        <w:rPr>
          <w:sz w:val="18"/>
          <w:szCs w:val="18"/>
        </w:rPr>
        <w:t xml:space="preserve">AbdelAzim Assi has completed his PhD at the age of 34 years from Erlangen-Nurnberg University, Germany and Assiut University, Egypt. He conducted   postdoctoral studies at Heidelberg University Germany.  He worked as Research Scientist in neuropharmacology, neuroanatomy and drug abuse  at the Department of Pharmacology, School of Medicine, University of Washington, Seattle, USA  as well as at the </w:t>
      </w:r>
      <w:r w:rsidRPr="00653A27">
        <w:rPr>
          <w:bCs/>
          <w:iCs/>
          <w:sz w:val="18"/>
          <w:szCs w:val="18"/>
        </w:rPr>
        <w:t>JLC-BBRI, Neuroscience/Drug Abuse Research Center, North Carolina Central University, USA</w:t>
      </w:r>
      <w:r w:rsidRPr="00653A27">
        <w:rPr>
          <w:sz w:val="18"/>
          <w:szCs w:val="18"/>
        </w:rPr>
        <w:t xml:space="preserve"> between 1999-2002 (supported by international fellowships from the National Institute on Drug Abuse, NIDA  and from the National Institute of Neurological Disorders and Stroke, USA).  </w:t>
      </w:r>
      <w:r w:rsidRPr="00653A27">
        <w:rPr>
          <w:sz w:val="18"/>
          <w:szCs w:val="18"/>
          <w:lang w:val="en-IN"/>
        </w:rPr>
        <w:t>He is now  a</w:t>
      </w:r>
      <w:r w:rsidRPr="00653A27">
        <w:rPr>
          <w:sz w:val="18"/>
          <w:szCs w:val="18"/>
        </w:rPr>
        <w:t xml:space="preserve"> professor of pharmacology, toxicology, clinical pharmacy, clinical pharmacology, first aid and biological assays at the Department of pharmacology, Faculty of Medicine, Assiut University, Egypt.  He has published more than 35 papers in international and local journals and has been serving as an editorial board member of about 3 places.</w:t>
      </w:r>
    </w:p>
    <w:p w:rsidR="0025638A" w:rsidRPr="00653A27" w:rsidRDefault="0025638A" w:rsidP="0025638A">
      <w:pPr>
        <w:rPr>
          <w:sz w:val="18"/>
          <w:szCs w:val="18"/>
        </w:rPr>
      </w:pPr>
    </w:p>
    <w:p w:rsidR="0025638A" w:rsidRPr="00653A27" w:rsidRDefault="00A9710C" w:rsidP="0025638A">
      <w:pPr>
        <w:autoSpaceDE w:val="0"/>
        <w:autoSpaceDN w:val="0"/>
        <w:adjustRightInd w:val="0"/>
        <w:rPr>
          <w:rFonts w:eastAsia="Times New Roman"/>
          <w:sz w:val="18"/>
          <w:szCs w:val="18"/>
          <w:lang w:val="en-NZ" w:eastAsia="it-IT"/>
        </w:rPr>
      </w:pPr>
      <w:r>
        <w:rPr>
          <w:rFonts w:ascii="Arial"/>
          <w:sz w:val="14"/>
        </w:rPr>
        <w:t xml:space="preserve">Email: </w:t>
      </w:r>
      <w:r w:rsidR="0025638A" w:rsidRPr="00653A27">
        <w:rPr>
          <w:rFonts w:eastAsia="Times New Roman"/>
          <w:sz w:val="18"/>
          <w:szCs w:val="18"/>
          <w:lang w:val="en-NZ" w:eastAsia="it-IT"/>
        </w:rPr>
        <w:t xml:space="preserve">: </w:t>
      </w:r>
      <w:hyperlink r:id="rId10" w:history="1">
        <w:r w:rsidR="0025638A" w:rsidRPr="00653A27">
          <w:rPr>
            <w:rStyle w:val="Hyperlink"/>
            <w:rFonts w:eastAsia="Times New Roman"/>
            <w:sz w:val="18"/>
            <w:szCs w:val="18"/>
            <w:lang w:val="en-NZ" w:eastAsia="it-IT"/>
          </w:rPr>
          <w:t>assi001@hotmail.com</w:t>
        </w:r>
      </w:hyperlink>
    </w:p>
    <w:p w:rsidR="00AE3E37" w:rsidRDefault="00AE3E37" w:rsidP="0025638A">
      <w:pPr>
        <w:spacing w:before="62"/>
        <w:ind w:left="4217" w:right="4235"/>
        <w:jc w:val="center"/>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25638A">
      <w:pPr>
        <w:pStyle w:val="BodyText"/>
        <w:spacing w:before="3"/>
        <w:rPr>
          <w:rFonts w:ascii="Minion Pro"/>
          <w:sz w:val="26"/>
        </w:rPr>
      </w:pPr>
      <w:r>
        <w:rPr>
          <w:rFonts w:ascii="Minion Pro"/>
          <w:sz w:val="26"/>
        </w:rPr>
        <w:lastRenderedPageBreak/>
        <w:t>I,m submitting other abstracts</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057" w:rsidRDefault="006B6057">
      <w:r>
        <w:separator/>
      </w:r>
    </w:p>
  </w:endnote>
  <w:endnote w:type="continuationSeparator" w:id="1">
    <w:p w:rsidR="006B6057" w:rsidRDefault="006B605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3D2B">
    <w:pPr>
      <w:pStyle w:val="BodyText"/>
      <w:spacing w:line="14" w:lineRule="auto"/>
      <w:rPr>
        <w:sz w:val="20"/>
      </w:rPr>
    </w:pPr>
    <w:r w:rsidRPr="001A3D2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A3D2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A3D2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057" w:rsidRDefault="006B6057">
      <w:r>
        <w:separator/>
      </w:r>
    </w:p>
  </w:footnote>
  <w:footnote w:type="continuationSeparator" w:id="1">
    <w:p w:rsidR="006B6057" w:rsidRDefault="006B60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A3D2B">
    <w:pPr>
      <w:pStyle w:val="BodyText"/>
      <w:spacing w:line="14" w:lineRule="auto"/>
      <w:rPr>
        <w:sz w:val="20"/>
      </w:rPr>
    </w:pPr>
    <w:r w:rsidRPr="001A3D2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A3D2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D0951C9"/>
    <w:multiLevelType w:val="hybridMultilevel"/>
    <w:tmpl w:val="6D76A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A3D2B"/>
    <w:rsid w:val="002455EC"/>
    <w:rsid w:val="0025638A"/>
    <w:rsid w:val="00292ED9"/>
    <w:rsid w:val="00404E5B"/>
    <w:rsid w:val="00414F7B"/>
    <w:rsid w:val="004355DC"/>
    <w:rsid w:val="004749B4"/>
    <w:rsid w:val="00494130"/>
    <w:rsid w:val="004F3523"/>
    <w:rsid w:val="005125B9"/>
    <w:rsid w:val="00545839"/>
    <w:rsid w:val="005973B9"/>
    <w:rsid w:val="005B3A56"/>
    <w:rsid w:val="006060CE"/>
    <w:rsid w:val="0063497F"/>
    <w:rsid w:val="006B6057"/>
    <w:rsid w:val="00873DF0"/>
    <w:rsid w:val="008756E6"/>
    <w:rsid w:val="008A08B6"/>
    <w:rsid w:val="009B2D44"/>
    <w:rsid w:val="009D682F"/>
    <w:rsid w:val="00A07E82"/>
    <w:rsid w:val="00A9710C"/>
    <w:rsid w:val="00AE3E37"/>
    <w:rsid w:val="00B21A57"/>
    <w:rsid w:val="00C33602"/>
    <w:rsid w:val="00CD6F55"/>
    <w:rsid w:val="00DD6CD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ssi001@hotmail.com" TargetMode="External"/><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Mohamed</cp:lastModifiedBy>
  <cp:revision>2</cp:revision>
  <dcterms:created xsi:type="dcterms:W3CDTF">2018-04-15T02:50:00Z</dcterms:created>
  <dcterms:modified xsi:type="dcterms:W3CDTF">2018-04-15T02:50:00Z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