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5C1392" w:rsidP="00494130">
      <w:pPr>
        <w:pStyle w:val="Ttulo1"/>
        <w:spacing w:before="170"/>
        <w:ind w:left="0"/>
      </w:pPr>
      <w:r>
        <w:rPr>
          <w:color w:val="337AB7"/>
        </w:rPr>
        <w:t xml:space="preserve">In vivo evaluation of thiazolidinedione derivatives as euglycemic agents </w:t>
      </w:r>
    </w:p>
    <w:p w:rsidR="00AE3E37" w:rsidRDefault="005C1392" w:rsidP="009C313B">
      <w:pPr>
        <w:pStyle w:val="Textoindependiente"/>
        <w:spacing w:before="73" w:line="198" w:lineRule="exact"/>
        <w:ind w:right="5987"/>
        <w:rPr>
          <w:rFonts w:ascii="Arial"/>
          <w:sz w:val="20"/>
        </w:rPr>
      </w:pPr>
      <w:r>
        <w:rPr>
          <w:rFonts w:ascii="Arial"/>
        </w:rPr>
        <w:t xml:space="preserve">Diana Aleman GD, Instituto </w:t>
      </w:r>
      <w:proofErr w:type="spellStart"/>
      <w:r>
        <w:rPr>
          <w:rFonts w:ascii="Arial"/>
        </w:rPr>
        <w:t>Politecnico</w:t>
      </w:r>
      <w:proofErr w:type="spellEnd"/>
      <w:r>
        <w:rPr>
          <w:rFonts w:ascii="Arial"/>
        </w:rPr>
        <w:t xml:space="preserve"> Nacional, Ciudad de Mexico, Mexico</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5C1392" w:rsidRDefault="005C1392" w:rsidP="009C313B">
      <w:pPr>
        <w:pStyle w:val="Textoindependiente"/>
        <w:spacing w:before="90" w:line="360" w:lineRule="auto"/>
        <w:ind w:left="102"/>
        <w:jc w:val="both"/>
      </w:pPr>
      <w:r w:rsidRPr="005C1392">
        <w:rPr>
          <w:b/>
        </w:rPr>
        <w:t>Introduction:</w:t>
      </w:r>
      <w:r>
        <w:t xml:space="preserve"> Diabetes mellitus (DM) is a chronic metabolic disease, which can be treated either by decreasing blood glucose by the improvement in insulin secretion, or by decreasing insulin resistance in peripheral tissues, which is a characteristic effect of thiazolidinediones (TZDs). TZDs are complete agonists of the peroxisome proliferator-activated (PPAR) </w:t>
      </w:r>
      <w:r>
        <w:rPr>
          <w:rFonts w:ascii="Calibri Light" w:hAnsi="Calibri Light" w:cs="Calibri Light"/>
        </w:rPr>
        <w:t>γ</w:t>
      </w:r>
      <w:r>
        <w:t xml:space="preserve"> receptor, which </w:t>
      </w:r>
      <w:proofErr w:type="gramStart"/>
      <w:r>
        <w:t>are able to</w:t>
      </w:r>
      <w:proofErr w:type="gramEnd"/>
      <w:r>
        <w:t xml:space="preserve"> promote the transcription of genes involved in the metabolism of lipids and carbohydrates, but these drugs present undesirable effects such as increase in body weight, hepatic toxicity, plasma volume expansion and heart failure. The aim of this study was to elucidate whether </w:t>
      </w:r>
      <w:r w:rsidR="00EE2AC0">
        <w:t xml:space="preserve">our </w:t>
      </w:r>
      <w:r>
        <w:t>previously designed compounds, known as C#40, C#81 and C#4, may serve as euglycemic and antioxidant agents.</w:t>
      </w:r>
    </w:p>
    <w:p w:rsidR="005C1392" w:rsidRDefault="005C1392" w:rsidP="009C313B">
      <w:pPr>
        <w:pStyle w:val="Textoindependiente"/>
        <w:spacing w:before="90" w:line="360" w:lineRule="auto"/>
        <w:ind w:left="102"/>
        <w:jc w:val="both"/>
      </w:pPr>
      <w:r w:rsidRPr="005C1392">
        <w:rPr>
          <w:b/>
        </w:rPr>
        <w:t>Materials and methods:</w:t>
      </w:r>
      <w:r w:rsidR="00EE2AC0">
        <w:t xml:space="preserve"> Healthy male </w:t>
      </w:r>
      <w:r>
        <w:t xml:space="preserve">Wistar rats were randomly divided into 6 groups, each containing 7 animals as follows: Control, DM, </w:t>
      </w:r>
      <w:proofErr w:type="spellStart"/>
      <w:r>
        <w:t>DM+Pioglitazone</w:t>
      </w:r>
      <w:proofErr w:type="spellEnd"/>
      <w:r>
        <w:t xml:space="preserve">, DM+C#40, DM+C#81, and DM+C#4. DM was induced by a single intraperitoneal injection of </w:t>
      </w:r>
      <w:proofErr w:type="spellStart"/>
      <w:r>
        <w:t>streptozotocin</w:t>
      </w:r>
      <w:proofErr w:type="spellEnd"/>
      <w:r>
        <w:t xml:space="preserve"> (45 mg/kg). After the injection, each animal was weighted and monitored for blood glucose levels</w:t>
      </w:r>
      <w:r w:rsidR="00EE2AC0">
        <w:t xml:space="preserve"> weekly</w:t>
      </w:r>
      <w:r>
        <w:t>. At the end of the study, blood and hepa</w:t>
      </w:r>
      <w:r w:rsidR="009C313B">
        <w:t>tic tissue sam</w:t>
      </w:r>
      <w:r>
        <w:t xml:space="preserve">ples were collected </w:t>
      </w:r>
      <w:proofErr w:type="gramStart"/>
      <w:r>
        <w:t>in order to</w:t>
      </w:r>
      <w:proofErr w:type="gramEnd"/>
      <w:r>
        <w:t xml:space="preserve"> determine glucose, insulin, triglycerides, total cholesterol, antioxidant enzymatic activity, antioxidant non-enzymatic activity, and liver enzymes.</w:t>
      </w:r>
    </w:p>
    <w:p w:rsidR="005C1392" w:rsidRDefault="005C1392" w:rsidP="009C313B">
      <w:pPr>
        <w:pStyle w:val="Textoindependiente"/>
        <w:spacing w:before="90" w:line="360" w:lineRule="auto"/>
        <w:ind w:left="102"/>
        <w:jc w:val="both"/>
      </w:pPr>
      <w:r w:rsidRPr="005C1392">
        <w:rPr>
          <w:b/>
        </w:rPr>
        <w:t>Results:</w:t>
      </w:r>
      <w:r w:rsidR="00EE2AC0">
        <w:t xml:space="preserve"> T</w:t>
      </w:r>
      <w:r>
        <w:t xml:space="preserve">he treatment with C#40 </w:t>
      </w:r>
      <w:proofErr w:type="gramStart"/>
      <w:r>
        <w:t>was able to</w:t>
      </w:r>
      <w:proofErr w:type="gramEnd"/>
      <w:r>
        <w:t xml:space="preserve"> produce </w:t>
      </w:r>
      <w:proofErr w:type="spellStart"/>
      <w:r>
        <w:t>euglycemia</w:t>
      </w:r>
      <w:proofErr w:type="spellEnd"/>
      <w:r>
        <w:t xml:space="preserve"> better than Pioglitazone, while C#81 was able to reduce glycemia by 300 mg/dl, even though it did not produce </w:t>
      </w:r>
      <w:proofErr w:type="spellStart"/>
      <w:r>
        <w:t>euglycemia</w:t>
      </w:r>
      <w:proofErr w:type="spellEnd"/>
      <w:r>
        <w:t>. The thr</w:t>
      </w:r>
      <w:r w:rsidR="00EE2AC0">
        <w:t xml:space="preserve">ee derivatives </w:t>
      </w:r>
      <w:r>
        <w:t>increased the values of total cholesterol, while triglyceride levels decreased. C#4 exhibited a better antioxidant activity rather than C#40, C#81 and Pioglitazone, by increasing SOD, CAT, and GSH levels, and</w:t>
      </w:r>
      <w:r w:rsidR="00EE2AC0">
        <w:t xml:space="preserve"> by diminishing TBARS levels.</w:t>
      </w:r>
    </w:p>
    <w:p w:rsidR="00EE2AC0" w:rsidRDefault="00EE2AC0" w:rsidP="00EE2AC0">
      <w:pPr>
        <w:pStyle w:val="Textoindependiente"/>
        <w:spacing w:before="90" w:line="360" w:lineRule="auto"/>
        <w:ind w:left="102"/>
        <w:jc w:val="both"/>
      </w:pPr>
      <w:r>
        <w:rPr>
          <w:b/>
        </w:rPr>
        <w:t xml:space="preserve">Conclusions: </w:t>
      </w:r>
      <w:r>
        <w:t xml:space="preserve">C#40 </w:t>
      </w:r>
      <w:r>
        <w:t>was</w:t>
      </w:r>
      <w:r>
        <w:t xml:space="preserve"> effective</w:t>
      </w:r>
      <w:r>
        <w:t xml:space="preserve"> </w:t>
      </w:r>
      <w:r>
        <w:t>for the decrease of b</w:t>
      </w:r>
      <w:r>
        <w:t xml:space="preserve">lood glucose </w:t>
      </w:r>
      <w:bookmarkStart w:id="0" w:name="_GoBack"/>
      <w:bookmarkEnd w:id="0"/>
      <w:r>
        <w:t>and triglycerides. I</w:t>
      </w:r>
      <w:r>
        <w:t>t was found that C#4 is an effective antioxidant compound, rather than C#40, C#81 and Pioglitazone.</w:t>
      </w:r>
    </w:p>
    <w:p w:rsidR="009C313B" w:rsidRDefault="00A9710C" w:rsidP="00EE2AC0">
      <w:pPr>
        <w:pStyle w:val="Textoindependiente"/>
        <w:spacing w:before="90" w:line="360" w:lineRule="auto"/>
        <w:ind w:left="102"/>
        <w:jc w:val="both"/>
        <w:rPr>
          <w:b/>
        </w:rPr>
      </w:pPr>
      <w:r>
        <w:br w:type="column"/>
      </w:r>
    </w:p>
    <w:p w:rsidR="005973B9" w:rsidRDefault="009C313B" w:rsidP="009C313B">
      <w:pPr>
        <w:pStyle w:val="Ttulo3"/>
        <w:spacing w:before="74"/>
        <w:rPr>
          <w:b w:val="0"/>
        </w:rPr>
      </w:pPr>
      <w:r>
        <w:rPr>
          <w:color w:val="BF5A14"/>
        </w:rPr>
        <w:t>References</w:t>
      </w:r>
    </w:p>
    <w:p w:rsidR="009C313B" w:rsidRDefault="009C313B" w:rsidP="00EE2AC0">
      <w:pPr>
        <w:pStyle w:val="Prrafodelista"/>
        <w:numPr>
          <w:ilvl w:val="0"/>
          <w:numId w:val="3"/>
        </w:numPr>
        <w:tabs>
          <w:tab w:val="left" w:pos="384"/>
        </w:tabs>
        <w:spacing w:before="103" w:line="240" w:lineRule="auto"/>
        <w:ind w:left="386" w:right="136"/>
        <w:rPr>
          <w:sz w:val="18"/>
        </w:rPr>
      </w:pPr>
      <w:r>
        <w:rPr>
          <w:sz w:val="18"/>
        </w:rPr>
        <w:t>American Diabetes Association. Standards of medical care in diabetes 2016. Diabetes Care, 2016; 39 (1): S1-S103.</w:t>
      </w:r>
    </w:p>
    <w:p w:rsidR="009C313B" w:rsidRDefault="009C313B" w:rsidP="00EE2AC0">
      <w:pPr>
        <w:pStyle w:val="Prrafodelista"/>
        <w:numPr>
          <w:ilvl w:val="0"/>
          <w:numId w:val="3"/>
        </w:numPr>
        <w:tabs>
          <w:tab w:val="left" w:pos="384"/>
        </w:tabs>
        <w:spacing w:before="103" w:line="240" w:lineRule="auto"/>
        <w:ind w:left="386" w:right="136"/>
        <w:rPr>
          <w:sz w:val="18"/>
        </w:rPr>
      </w:pPr>
      <w:proofErr w:type="spellStart"/>
      <w:r>
        <w:rPr>
          <w:sz w:val="18"/>
        </w:rPr>
        <w:t>Parmenon</w:t>
      </w:r>
      <w:proofErr w:type="spellEnd"/>
      <w:r>
        <w:rPr>
          <w:sz w:val="18"/>
        </w:rPr>
        <w:t xml:space="preserve"> C, </w:t>
      </w:r>
      <w:proofErr w:type="spellStart"/>
      <w:r>
        <w:rPr>
          <w:sz w:val="18"/>
        </w:rPr>
        <w:t>Guillard</w:t>
      </w:r>
      <w:proofErr w:type="spellEnd"/>
      <w:r>
        <w:rPr>
          <w:sz w:val="18"/>
        </w:rPr>
        <w:t xml:space="preserve"> J, </w:t>
      </w:r>
      <w:proofErr w:type="spellStart"/>
      <w:r>
        <w:rPr>
          <w:sz w:val="18"/>
        </w:rPr>
        <w:t>Caignard</w:t>
      </w:r>
      <w:proofErr w:type="spellEnd"/>
      <w:r>
        <w:rPr>
          <w:sz w:val="18"/>
        </w:rPr>
        <w:t xml:space="preserve"> DH, </w:t>
      </w:r>
      <w:proofErr w:type="spellStart"/>
      <w:r>
        <w:rPr>
          <w:sz w:val="18"/>
        </w:rPr>
        <w:t>Hennuyer</w:t>
      </w:r>
      <w:proofErr w:type="spellEnd"/>
      <w:r>
        <w:rPr>
          <w:sz w:val="18"/>
        </w:rPr>
        <w:t xml:space="preserve"> N, </w:t>
      </w:r>
      <w:proofErr w:type="spellStart"/>
      <w:r>
        <w:rPr>
          <w:sz w:val="18"/>
        </w:rPr>
        <w:t>Staels</w:t>
      </w:r>
      <w:proofErr w:type="spellEnd"/>
      <w:r>
        <w:rPr>
          <w:sz w:val="18"/>
        </w:rPr>
        <w:t xml:space="preserve"> B, </w:t>
      </w:r>
      <w:proofErr w:type="spellStart"/>
      <w:r>
        <w:rPr>
          <w:sz w:val="18"/>
        </w:rPr>
        <w:t>Bouchez</w:t>
      </w:r>
      <w:proofErr w:type="spellEnd"/>
      <w:r>
        <w:rPr>
          <w:sz w:val="18"/>
        </w:rPr>
        <w:t xml:space="preserve"> VA, Boutin JAM </w:t>
      </w:r>
      <w:proofErr w:type="spellStart"/>
      <w:r>
        <w:rPr>
          <w:sz w:val="18"/>
        </w:rPr>
        <w:t>Dacquet</w:t>
      </w:r>
      <w:proofErr w:type="spellEnd"/>
      <w:r>
        <w:rPr>
          <w:sz w:val="18"/>
        </w:rPr>
        <w:t xml:space="preserve"> C, </w:t>
      </w:r>
      <w:proofErr w:type="spellStart"/>
      <w:r>
        <w:rPr>
          <w:sz w:val="18"/>
        </w:rPr>
        <w:t>Ktorza</w:t>
      </w:r>
      <w:proofErr w:type="spellEnd"/>
      <w:r>
        <w:rPr>
          <w:sz w:val="18"/>
        </w:rPr>
        <w:t xml:space="preserve"> A, </w:t>
      </w:r>
      <w:proofErr w:type="spellStart"/>
      <w:r>
        <w:rPr>
          <w:sz w:val="18"/>
        </w:rPr>
        <w:t>Viaud</w:t>
      </w:r>
      <w:proofErr w:type="spellEnd"/>
      <w:r>
        <w:rPr>
          <w:sz w:val="18"/>
        </w:rPr>
        <w:t xml:space="preserve"> MMC. 4,4-Dimethyl-1,2,3,4-tetrahydroquinoline-based PPAR α/γ agonists, Part I: Synthesis and pharmacological evaluation. Bioorganic and Medicinal Chemistry Letters, 2008; 18: 1617-1622.</w:t>
      </w:r>
    </w:p>
    <w:p w:rsidR="009C313B" w:rsidRDefault="009C313B" w:rsidP="00EE2AC0">
      <w:pPr>
        <w:pStyle w:val="Prrafodelista"/>
        <w:numPr>
          <w:ilvl w:val="0"/>
          <w:numId w:val="3"/>
        </w:numPr>
        <w:tabs>
          <w:tab w:val="left" w:pos="384"/>
        </w:tabs>
        <w:spacing w:before="103" w:line="240" w:lineRule="auto"/>
        <w:ind w:left="386" w:right="136"/>
        <w:rPr>
          <w:sz w:val="18"/>
        </w:rPr>
      </w:pPr>
      <w:r>
        <w:rPr>
          <w:sz w:val="18"/>
        </w:rPr>
        <w:t>Aleman GDD, Tamay CF, Alvarez AS, Mendieta WJE. Current advances in the biochemical and physiological aspects of the treatment of type 2 diabetes mellitus with thiazolidinediones. PPAR Research, 2016; 2016: ID 7614270.</w:t>
      </w:r>
    </w:p>
    <w:p w:rsidR="009C313B" w:rsidRDefault="009C313B" w:rsidP="00EE2AC0">
      <w:pPr>
        <w:pStyle w:val="Prrafodelista"/>
        <w:numPr>
          <w:ilvl w:val="0"/>
          <w:numId w:val="3"/>
        </w:numPr>
        <w:tabs>
          <w:tab w:val="left" w:pos="384"/>
        </w:tabs>
        <w:spacing w:before="103" w:line="240" w:lineRule="auto"/>
        <w:ind w:left="386" w:right="136"/>
        <w:rPr>
          <w:sz w:val="18"/>
        </w:rPr>
      </w:pPr>
      <w:proofErr w:type="spellStart"/>
      <w:r>
        <w:rPr>
          <w:sz w:val="18"/>
        </w:rPr>
        <w:t>Prashantha</w:t>
      </w:r>
      <w:proofErr w:type="spellEnd"/>
      <w:r>
        <w:rPr>
          <w:sz w:val="18"/>
        </w:rPr>
        <w:t xml:space="preserve"> BR, </w:t>
      </w:r>
      <w:proofErr w:type="spellStart"/>
      <w:r>
        <w:rPr>
          <w:sz w:val="18"/>
        </w:rPr>
        <w:t>Soni</w:t>
      </w:r>
      <w:proofErr w:type="spellEnd"/>
      <w:r>
        <w:rPr>
          <w:sz w:val="18"/>
        </w:rPr>
        <w:t xml:space="preserve"> M, Kumar SS, Singh K, </w:t>
      </w:r>
      <w:proofErr w:type="spellStart"/>
      <w:r>
        <w:rPr>
          <w:sz w:val="18"/>
        </w:rPr>
        <w:t>Patil</w:t>
      </w:r>
      <w:proofErr w:type="spellEnd"/>
      <w:r>
        <w:rPr>
          <w:sz w:val="18"/>
        </w:rPr>
        <w:t xml:space="preserve"> M, </w:t>
      </w:r>
      <w:proofErr w:type="spellStart"/>
      <w:r>
        <w:rPr>
          <w:sz w:val="18"/>
        </w:rPr>
        <w:t>Baig</w:t>
      </w:r>
      <w:proofErr w:type="spellEnd"/>
      <w:r>
        <w:rPr>
          <w:sz w:val="18"/>
        </w:rPr>
        <w:t xml:space="preserve"> RBN, </w:t>
      </w:r>
      <w:proofErr w:type="spellStart"/>
      <w:r>
        <w:rPr>
          <w:sz w:val="18"/>
        </w:rPr>
        <w:t>Adhikary</w:t>
      </w:r>
      <w:proofErr w:type="spellEnd"/>
      <w:r>
        <w:rPr>
          <w:sz w:val="18"/>
        </w:rPr>
        <w:t xml:space="preserve"> L. Synthesis, glucose uptake activity and structure-activity relationships of some novel glitazones incorporated with glycine, aromatic and alicyclic amine moieties via two carbon acyl </w:t>
      </w:r>
      <w:proofErr w:type="gramStart"/>
      <w:r>
        <w:rPr>
          <w:sz w:val="18"/>
        </w:rPr>
        <w:t>linker</w:t>
      </w:r>
      <w:proofErr w:type="gramEnd"/>
      <w:r>
        <w:rPr>
          <w:sz w:val="18"/>
        </w:rPr>
        <w:t>. European Journal of Medicinal Chemistry, 2011; 46: 835-844.</w:t>
      </w:r>
    </w:p>
    <w:p w:rsidR="009C313B" w:rsidRDefault="009C313B" w:rsidP="00EE2AC0">
      <w:pPr>
        <w:pStyle w:val="Prrafodelista"/>
        <w:numPr>
          <w:ilvl w:val="0"/>
          <w:numId w:val="3"/>
        </w:numPr>
        <w:tabs>
          <w:tab w:val="left" w:pos="384"/>
        </w:tabs>
        <w:spacing w:before="103" w:line="240" w:lineRule="auto"/>
        <w:ind w:left="386" w:right="136"/>
        <w:rPr>
          <w:sz w:val="18"/>
        </w:rPr>
      </w:pPr>
      <w:proofErr w:type="spellStart"/>
      <w:r>
        <w:rPr>
          <w:sz w:val="18"/>
        </w:rPr>
        <w:t>Gim</w:t>
      </w:r>
      <w:proofErr w:type="spellEnd"/>
      <w:r>
        <w:rPr>
          <w:sz w:val="18"/>
        </w:rPr>
        <w:t xml:space="preserve"> HJ, Li H, Lee E, Ryu JH, Jeon R. Design and synthesis of alkoxyindolyl-3-acetic acid analogues as peroxisome proliferator-activated receptor γ/</w:t>
      </w:r>
      <w:r w:rsidR="005E0F65">
        <w:rPr>
          <w:sz w:val="18"/>
        </w:rPr>
        <w:t>δ agonists. Bioorganic &amp; Medicinal Chemistry Letters, 2013; 23: 513-517.</w:t>
      </w:r>
    </w:p>
    <w:p w:rsidR="005E0F65" w:rsidRDefault="005E0F65" w:rsidP="00EE2AC0">
      <w:pPr>
        <w:pStyle w:val="Prrafodelista"/>
        <w:numPr>
          <w:ilvl w:val="0"/>
          <w:numId w:val="3"/>
        </w:numPr>
        <w:tabs>
          <w:tab w:val="left" w:pos="384"/>
        </w:tabs>
        <w:spacing w:before="103" w:line="240" w:lineRule="auto"/>
        <w:ind w:left="386" w:right="136"/>
        <w:rPr>
          <w:sz w:val="18"/>
        </w:rPr>
      </w:pPr>
      <w:r>
        <w:rPr>
          <w:sz w:val="18"/>
        </w:rPr>
        <w:t>Aleman GDD, Tamay CF, Correa BJ, Padilla MII, Alvarez AS, Mendieta WJE. In silico design, chemical synthesis and toxicological evaluation of 1,3-thiazolidine-2,4-dione derivatives as PPARγ agonists. Regulatory Toxicology and Pharmacology, 2017; 86: 25-32.</w:t>
      </w:r>
    </w:p>
    <w:p w:rsidR="005E0F65" w:rsidRDefault="005E0F65" w:rsidP="00EE2AC0">
      <w:pPr>
        <w:pStyle w:val="Prrafodelista"/>
        <w:numPr>
          <w:ilvl w:val="0"/>
          <w:numId w:val="3"/>
        </w:numPr>
        <w:tabs>
          <w:tab w:val="left" w:pos="384"/>
        </w:tabs>
        <w:spacing w:before="103" w:line="240" w:lineRule="auto"/>
        <w:ind w:left="386" w:right="136"/>
        <w:rPr>
          <w:sz w:val="18"/>
        </w:rPr>
      </w:pPr>
      <w:proofErr w:type="spellStart"/>
      <w:r>
        <w:rPr>
          <w:sz w:val="18"/>
        </w:rPr>
        <w:t>Altinoz</w:t>
      </w:r>
      <w:proofErr w:type="spellEnd"/>
      <w:r>
        <w:rPr>
          <w:sz w:val="18"/>
        </w:rPr>
        <w:t xml:space="preserve"> E, </w:t>
      </w:r>
      <w:proofErr w:type="spellStart"/>
      <w:r>
        <w:rPr>
          <w:sz w:val="18"/>
        </w:rPr>
        <w:t>Oner</w:t>
      </w:r>
      <w:proofErr w:type="spellEnd"/>
      <w:r>
        <w:rPr>
          <w:sz w:val="18"/>
        </w:rPr>
        <w:t xml:space="preserve"> Z, Elbe H, </w:t>
      </w:r>
      <w:proofErr w:type="spellStart"/>
      <w:r>
        <w:rPr>
          <w:sz w:val="18"/>
        </w:rPr>
        <w:t>Cigremis</w:t>
      </w:r>
      <w:proofErr w:type="spellEnd"/>
      <w:r>
        <w:rPr>
          <w:sz w:val="18"/>
        </w:rPr>
        <w:t xml:space="preserve"> Y, </w:t>
      </w:r>
      <w:proofErr w:type="spellStart"/>
      <w:r>
        <w:rPr>
          <w:sz w:val="18"/>
        </w:rPr>
        <w:t>Turkoz</w:t>
      </w:r>
      <w:proofErr w:type="spellEnd"/>
      <w:r>
        <w:rPr>
          <w:sz w:val="18"/>
        </w:rPr>
        <w:t xml:space="preserve"> Y. Protective effects of saffron on nephropathy in </w:t>
      </w:r>
      <w:proofErr w:type="spellStart"/>
      <w:r>
        <w:rPr>
          <w:sz w:val="18"/>
        </w:rPr>
        <w:t>streptozotocin</w:t>
      </w:r>
      <w:proofErr w:type="spellEnd"/>
      <w:r>
        <w:rPr>
          <w:sz w:val="18"/>
        </w:rPr>
        <w:t>-induced diabetic rats. Human and Experimental Toxicology, 2015; 34 (2): 127-134.</w:t>
      </w:r>
    </w:p>
    <w:p w:rsidR="005E0F65" w:rsidRDefault="005E0F65" w:rsidP="00EE2AC0">
      <w:pPr>
        <w:pStyle w:val="Prrafodelista"/>
        <w:numPr>
          <w:ilvl w:val="0"/>
          <w:numId w:val="3"/>
        </w:numPr>
        <w:tabs>
          <w:tab w:val="left" w:pos="384"/>
        </w:tabs>
        <w:spacing w:before="103" w:line="240" w:lineRule="auto"/>
        <w:ind w:left="386" w:right="136"/>
        <w:rPr>
          <w:sz w:val="18"/>
        </w:rPr>
      </w:pPr>
      <w:r>
        <w:rPr>
          <w:sz w:val="18"/>
        </w:rPr>
        <w:t xml:space="preserve">Nain P, Saini V, Sharma S, Nain J. Antidiabetic and antioxidant potential of </w:t>
      </w:r>
      <w:proofErr w:type="spellStart"/>
      <w:r>
        <w:rPr>
          <w:sz w:val="18"/>
        </w:rPr>
        <w:t>Emblica</w:t>
      </w:r>
      <w:proofErr w:type="spellEnd"/>
      <w:r>
        <w:rPr>
          <w:sz w:val="18"/>
        </w:rPr>
        <w:t xml:space="preserve"> officinalis </w:t>
      </w:r>
      <w:proofErr w:type="spellStart"/>
      <w:r>
        <w:rPr>
          <w:sz w:val="18"/>
        </w:rPr>
        <w:t>Gaertn</w:t>
      </w:r>
      <w:proofErr w:type="spellEnd"/>
      <w:r>
        <w:rPr>
          <w:sz w:val="18"/>
        </w:rPr>
        <w:t xml:space="preserve">. leaves extract in </w:t>
      </w:r>
      <w:proofErr w:type="spellStart"/>
      <w:r>
        <w:rPr>
          <w:sz w:val="18"/>
        </w:rPr>
        <w:t>streptozotocin</w:t>
      </w:r>
      <w:proofErr w:type="spellEnd"/>
      <w:r>
        <w:rPr>
          <w:sz w:val="18"/>
        </w:rPr>
        <w:t>-induced type 2 diabetes mellitus (T2DM) rats. Journal of Ethnopharmacology, 2012; 142 (1): 65-71.</w:t>
      </w:r>
    </w:p>
    <w:p w:rsidR="009C313B" w:rsidRDefault="009C313B">
      <w:pPr>
        <w:spacing w:line="200" w:lineRule="exact"/>
        <w:jc w:val="both"/>
        <w:rPr>
          <w:rFonts w:ascii="Calibri" w:hAnsi="Calibri"/>
        </w:rPr>
        <w:sectPr w:rsidR="009C313B">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A41A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E3E37" w:rsidRDefault="006F44D1">
      <w:pPr>
        <w:spacing w:before="41" w:line="154" w:lineRule="exact"/>
        <w:ind w:left="213" w:right="231"/>
        <w:jc w:val="both"/>
        <w:rPr>
          <w:rFonts w:ascii="Arial"/>
          <w:sz w:val="14"/>
        </w:rPr>
      </w:pPr>
      <w:r>
        <w:rPr>
          <w:rFonts w:ascii="Arial"/>
          <w:sz w:val="14"/>
        </w:rPr>
        <w:t>Diana Alem</w:t>
      </w:r>
      <w:r w:rsidR="007B0603">
        <w:rPr>
          <w:rFonts w:ascii="Arial"/>
          <w:sz w:val="14"/>
        </w:rPr>
        <w:t>a</w:t>
      </w:r>
      <w:r>
        <w:rPr>
          <w:rFonts w:ascii="Arial"/>
          <w:sz w:val="14"/>
        </w:rPr>
        <w:t>n</w:t>
      </w:r>
      <w:r w:rsidR="005C1392">
        <w:rPr>
          <w:rFonts w:ascii="Arial"/>
          <w:sz w:val="14"/>
        </w:rPr>
        <w:t xml:space="preserve"> got her </w:t>
      </w:r>
      <w:proofErr w:type="spellStart"/>
      <w:r w:rsidR="005C1392">
        <w:rPr>
          <w:rFonts w:ascii="Arial"/>
          <w:sz w:val="14"/>
        </w:rPr>
        <w:t>BsC</w:t>
      </w:r>
      <w:proofErr w:type="spellEnd"/>
      <w:r w:rsidR="005C1392">
        <w:rPr>
          <w:rFonts w:ascii="Arial"/>
          <w:sz w:val="14"/>
        </w:rPr>
        <w:t xml:space="preserve"> in Optometry, </w:t>
      </w:r>
      <w:proofErr w:type="spellStart"/>
      <w:r w:rsidR="005C1392">
        <w:rPr>
          <w:rFonts w:ascii="Arial"/>
          <w:sz w:val="14"/>
        </w:rPr>
        <w:t>MsC</w:t>
      </w:r>
      <w:proofErr w:type="spellEnd"/>
      <w:r w:rsidR="005C1392">
        <w:rPr>
          <w:rFonts w:ascii="Arial"/>
          <w:sz w:val="14"/>
        </w:rPr>
        <w:t xml:space="preserve"> in Pharmacology, and PhD in Medical research in the field of Biochemistry, and</w:t>
      </w:r>
      <w:r>
        <w:rPr>
          <w:rFonts w:ascii="Arial"/>
          <w:sz w:val="14"/>
        </w:rPr>
        <w:t xml:space="preserve"> has focused on the development of new pharmacological treatments for diabetes mellitus. Her approaches so far combine hypoglycemic activity, antioxidant activity, and prevention of liver toxicity</w:t>
      </w:r>
      <w:r w:rsidR="005C1392">
        <w:rPr>
          <w:rFonts w:ascii="Arial"/>
          <w:sz w:val="14"/>
        </w:rPr>
        <w:t xml:space="preserve">, using a model of hyperglycemia due to a single injection of </w:t>
      </w:r>
      <w:proofErr w:type="spellStart"/>
      <w:r w:rsidR="005C1392">
        <w:rPr>
          <w:rFonts w:ascii="Arial"/>
          <w:sz w:val="14"/>
        </w:rPr>
        <w:t>streptozotocin</w:t>
      </w:r>
      <w:proofErr w:type="spellEnd"/>
      <w:r w:rsidR="005C1392">
        <w:rPr>
          <w:rFonts w:ascii="Arial"/>
          <w:sz w:val="14"/>
        </w:rPr>
        <w:t>.</w:t>
      </w:r>
    </w:p>
    <w:p w:rsidR="00AE3E37" w:rsidRPr="007B0603" w:rsidRDefault="00A9710C" w:rsidP="007B0603">
      <w:pPr>
        <w:spacing w:before="62"/>
        <w:ind w:left="4217" w:right="4235"/>
        <w:jc w:val="center"/>
        <w:rPr>
          <w:rFonts w:ascii="Arial"/>
          <w:sz w:val="14"/>
        </w:rPr>
        <w:sectPr w:rsidR="00AE3E37" w:rsidRPr="007B0603">
          <w:type w:val="continuous"/>
          <w:pgSz w:w="11910" w:h="16840"/>
          <w:pgMar w:top="1740" w:right="600" w:bottom="840" w:left="620" w:header="720" w:footer="720" w:gutter="0"/>
          <w:cols w:space="720"/>
        </w:sectPr>
      </w:pPr>
      <w:r>
        <w:rPr>
          <w:rFonts w:ascii="Arial"/>
          <w:sz w:val="14"/>
        </w:rPr>
        <w:t xml:space="preserve">Email: </w:t>
      </w:r>
      <w:r w:rsidR="006F44D1" w:rsidRPr="007B0603">
        <w:rPr>
          <w:rFonts w:ascii="Arial"/>
          <w:sz w:val="14"/>
        </w:rPr>
        <w:t>dianaagd@hotmail.com</w:t>
      </w:r>
      <w:r w:rsidR="00292ED9">
        <w:rPr>
          <w:noProof/>
          <w:lang w:val="en-IN" w:eastAsia="en-IN"/>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26048"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7B0603">
        <w:rPr>
          <w:noProof/>
          <w:lang w:val="en-IN" w:eastAsia="en-IN"/>
        </w:rPr>
        <w:t xml:space="preserve"> </w:t>
      </w: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2D32" w:rsidRDefault="00412D32">
      <w:r>
        <w:separator/>
      </w:r>
    </w:p>
  </w:endnote>
  <w:endnote w:type="continuationSeparator" w:id="0">
    <w:p w:rsidR="00412D32" w:rsidRDefault="00412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2D32" w:rsidRDefault="00412D32">
      <w:r>
        <w:separator/>
      </w:r>
    </w:p>
  </w:footnote>
  <w:footnote w:type="continuationSeparator" w:id="0">
    <w:p w:rsidR="00412D32" w:rsidRDefault="00412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2D32"/>
    <w:rsid w:val="00414F7B"/>
    <w:rsid w:val="004355DC"/>
    <w:rsid w:val="004749B4"/>
    <w:rsid w:val="00494130"/>
    <w:rsid w:val="004F3523"/>
    <w:rsid w:val="005973B9"/>
    <w:rsid w:val="005B3A56"/>
    <w:rsid w:val="005C1392"/>
    <w:rsid w:val="005E0F65"/>
    <w:rsid w:val="006060CE"/>
    <w:rsid w:val="0063497F"/>
    <w:rsid w:val="006F44D1"/>
    <w:rsid w:val="007B0603"/>
    <w:rsid w:val="00873DF0"/>
    <w:rsid w:val="008756E6"/>
    <w:rsid w:val="008A08B6"/>
    <w:rsid w:val="008E56F1"/>
    <w:rsid w:val="009B2D44"/>
    <w:rsid w:val="009C313B"/>
    <w:rsid w:val="00A07E82"/>
    <w:rsid w:val="00A540B3"/>
    <w:rsid w:val="00A9710C"/>
    <w:rsid w:val="00AE3E37"/>
    <w:rsid w:val="00B21A57"/>
    <w:rsid w:val="00C33602"/>
    <w:rsid w:val="00CD6F55"/>
    <w:rsid w:val="00DE3104"/>
    <w:rsid w:val="00E26B10"/>
    <w:rsid w:val="00EE2AC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6A8CB"/>
  <w15:docId w15:val="{221B2C80-7822-4DB9-9665-65ABAF65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6F44D1"/>
    <w:rPr>
      <w:color w:val="808080"/>
      <w:shd w:val="clear" w:color="auto" w:fill="E6E6E6"/>
    </w:rPr>
  </w:style>
  <w:style w:type="character" w:customStyle="1" w:styleId="hps">
    <w:name w:val="hps"/>
    <w:basedOn w:val="Fuentedeprrafopredeter"/>
    <w:rsid w:val="005C1392"/>
  </w:style>
  <w:style w:type="paragraph" w:styleId="Sinespaciado">
    <w:name w:val="No Spacing"/>
    <w:uiPriority w:val="1"/>
    <w:qFormat/>
    <w:rsid w:val="005C1392"/>
    <w:pPr>
      <w:widowControl/>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690</Words>
  <Characters>3797</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Diana Alemán</cp:lastModifiedBy>
  <cp:revision>5</cp:revision>
  <dcterms:created xsi:type="dcterms:W3CDTF">2016-12-06T11:19:00Z</dcterms:created>
  <dcterms:modified xsi:type="dcterms:W3CDTF">2017-10-17T02:47:00Z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