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890" w:rsidRPr="003D7890" w:rsidRDefault="003D7890" w:rsidP="003D7890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D7890">
        <w:rPr>
          <w:rFonts w:ascii="Times New Roman" w:eastAsia="Calibri" w:hAnsi="Times New Roman" w:cs="Times New Roman"/>
          <w:b/>
          <w:sz w:val="24"/>
          <w:szCs w:val="24"/>
          <w:u w:val="single"/>
        </w:rPr>
        <w:t>Title:</w:t>
      </w:r>
    </w:p>
    <w:p w:rsidR="00503B5D" w:rsidRPr="0079298D" w:rsidRDefault="0079298D" w:rsidP="003D789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9298D">
        <w:rPr>
          <w:rFonts w:ascii="Times New Roman" w:eastAsia="Calibri" w:hAnsi="Times New Roman" w:cs="Times New Roman"/>
          <w:b/>
          <w:sz w:val="24"/>
          <w:szCs w:val="24"/>
        </w:rPr>
        <w:t xml:space="preserve">Neuroprotective potential </w:t>
      </w:r>
      <w:r w:rsidR="003A1492">
        <w:rPr>
          <w:rFonts w:ascii="Times New Roman" w:eastAsia="Calibri" w:hAnsi="Times New Roman" w:cs="Times New Roman"/>
          <w:b/>
          <w:sz w:val="24"/>
          <w:szCs w:val="24"/>
        </w:rPr>
        <w:t xml:space="preserve">of </w:t>
      </w:r>
      <w:r w:rsidR="00893FDF">
        <w:rPr>
          <w:rFonts w:ascii="Times New Roman" w:eastAsia="Calibri" w:hAnsi="Times New Roman" w:cs="Times New Roman"/>
          <w:b/>
          <w:sz w:val="24"/>
          <w:szCs w:val="24"/>
        </w:rPr>
        <w:t xml:space="preserve">mitochondrial </w:t>
      </w:r>
      <w:r w:rsidRPr="0079298D">
        <w:rPr>
          <w:rFonts w:ascii="Times New Roman" w:eastAsia="Calibri" w:hAnsi="Times New Roman" w:cs="Times New Roman"/>
          <w:b/>
          <w:sz w:val="24"/>
          <w:szCs w:val="24"/>
        </w:rPr>
        <w:t xml:space="preserve">coenzyme-Q10 precursor in </w:t>
      </w:r>
      <w:r w:rsidRPr="0079298D">
        <w:rPr>
          <w:rFonts w:ascii="Times New Roman" w:hAnsi="Times New Roman" w:cs="Times New Roman"/>
          <w:b/>
          <w:sz w:val="24"/>
          <w:szCs w:val="24"/>
        </w:rPr>
        <w:t>combined model of intracerebral and intraventricular hemorrhage using autologous blood-injection in brain</w:t>
      </w:r>
    </w:p>
    <w:p w:rsidR="003D7890" w:rsidRPr="003D7890" w:rsidRDefault="003D7890" w:rsidP="003A2A22">
      <w:pPr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3D7890">
        <w:rPr>
          <w:rFonts w:ascii="Times New Roman" w:hAnsi="Times New Roman" w:cs="Times New Roman"/>
          <w:b/>
          <w:sz w:val="24"/>
          <w:szCs w:val="28"/>
          <w:u w:val="single"/>
        </w:rPr>
        <w:t xml:space="preserve">Author: </w:t>
      </w:r>
    </w:p>
    <w:p w:rsidR="003D7890" w:rsidRPr="00F3625A" w:rsidRDefault="003D7890" w:rsidP="003D7890">
      <w:pPr>
        <w:spacing w:after="0" w:line="240" w:lineRule="auto"/>
        <w:rPr>
          <w:rFonts w:asciiTheme="majorHAnsi" w:hAnsiTheme="majorHAnsi" w:cs="Arial"/>
          <w:bCs/>
          <w:color w:val="000000" w:themeColor="text1"/>
          <w:sz w:val="20"/>
          <w:szCs w:val="24"/>
        </w:rPr>
      </w:pPr>
      <w:r w:rsidRPr="00F3625A">
        <w:rPr>
          <w:rFonts w:asciiTheme="majorHAnsi" w:hAnsiTheme="majorHAnsi" w:cs="Times New Roman"/>
          <w:b/>
          <w:color w:val="000000" w:themeColor="text1"/>
          <w:szCs w:val="24"/>
        </w:rPr>
        <w:t>Dr. Sidharth Mehan</w:t>
      </w:r>
      <w:r w:rsidRPr="00F3625A">
        <w:rPr>
          <w:rFonts w:asciiTheme="majorHAnsi" w:hAnsiTheme="majorHAnsi" w:cs="Arial"/>
          <w:bCs/>
          <w:color w:val="000000" w:themeColor="text1"/>
          <w:szCs w:val="24"/>
        </w:rPr>
        <w:t> </w:t>
      </w:r>
      <w:r w:rsidRPr="00F3625A">
        <w:rPr>
          <w:rFonts w:asciiTheme="majorHAnsi" w:hAnsiTheme="majorHAnsi" w:cs="Arial"/>
          <w:bCs/>
          <w:color w:val="000000" w:themeColor="text1"/>
          <w:sz w:val="20"/>
          <w:szCs w:val="24"/>
        </w:rPr>
        <w:t>(</w:t>
      </w:r>
      <w:proofErr w:type="spellStart"/>
      <w:r w:rsidRPr="00F3625A">
        <w:rPr>
          <w:rFonts w:asciiTheme="majorHAnsi" w:hAnsiTheme="majorHAnsi" w:cs="Arial"/>
          <w:bCs/>
          <w:color w:val="000000" w:themeColor="text1"/>
          <w:sz w:val="20"/>
          <w:szCs w:val="24"/>
        </w:rPr>
        <w:t>Ph.D</w:t>
      </w:r>
      <w:proofErr w:type="spellEnd"/>
      <w:r w:rsidRPr="00F3625A">
        <w:rPr>
          <w:rFonts w:asciiTheme="majorHAnsi" w:hAnsiTheme="majorHAnsi" w:cs="Arial"/>
          <w:bCs/>
          <w:color w:val="000000" w:themeColor="text1"/>
          <w:sz w:val="20"/>
          <w:szCs w:val="24"/>
        </w:rPr>
        <w:t>, M.Pharm, DNHE, CFN, CNCC)</w:t>
      </w:r>
    </w:p>
    <w:p w:rsidR="0077301A" w:rsidRPr="00F3625A" w:rsidRDefault="003D7890" w:rsidP="003D7890">
      <w:pPr>
        <w:spacing w:after="0" w:line="240" w:lineRule="auto"/>
        <w:rPr>
          <w:rFonts w:asciiTheme="majorHAnsi" w:hAnsiTheme="majorHAnsi" w:cs="Arial"/>
          <w:bCs/>
          <w:color w:val="000000" w:themeColor="text1"/>
          <w:sz w:val="20"/>
          <w:szCs w:val="24"/>
        </w:rPr>
      </w:pPr>
      <w:r w:rsidRPr="00F3625A">
        <w:rPr>
          <w:rFonts w:asciiTheme="majorHAnsi" w:hAnsiTheme="majorHAnsi" w:cs="Arial"/>
          <w:bCs/>
          <w:color w:val="000000" w:themeColor="text1"/>
          <w:sz w:val="20"/>
          <w:szCs w:val="24"/>
        </w:rPr>
        <w:t>Associate Professor, Department of Pharmacology, ISF College of Pharmacy (ISFCP), </w:t>
      </w:r>
    </w:p>
    <w:p w:rsidR="003D7890" w:rsidRPr="00F3625A" w:rsidRDefault="003D7890" w:rsidP="003D7890">
      <w:pPr>
        <w:spacing w:after="0" w:line="240" w:lineRule="auto"/>
        <w:rPr>
          <w:rFonts w:asciiTheme="majorHAnsi" w:hAnsiTheme="majorHAnsi" w:cs="Arial"/>
          <w:bCs/>
          <w:color w:val="000000" w:themeColor="text1"/>
          <w:sz w:val="20"/>
          <w:szCs w:val="24"/>
        </w:rPr>
      </w:pPr>
      <w:proofErr w:type="spellStart"/>
      <w:r w:rsidRPr="00F3625A">
        <w:rPr>
          <w:rFonts w:asciiTheme="majorHAnsi" w:hAnsiTheme="majorHAnsi" w:cs="Arial"/>
          <w:bCs/>
          <w:color w:val="000000" w:themeColor="text1"/>
          <w:sz w:val="20"/>
          <w:szCs w:val="24"/>
        </w:rPr>
        <w:t>Ghal</w:t>
      </w:r>
      <w:r w:rsidR="0077301A" w:rsidRPr="00F3625A">
        <w:rPr>
          <w:rFonts w:asciiTheme="majorHAnsi" w:hAnsiTheme="majorHAnsi" w:cs="Arial"/>
          <w:bCs/>
          <w:color w:val="000000" w:themeColor="text1"/>
          <w:sz w:val="20"/>
          <w:szCs w:val="24"/>
        </w:rPr>
        <w:t>l</w:t>
      </w:r>
      <w:proofErr w:type="spellEnd"/>
      <w:r w:rsidRPr="00F3625A">
        <w:rPr>
          <w:rFonts w:asciiTheme="majorHAnsi" w:hAnsiTheme="majorHAnsi" w:cs="Arial"/>
          <w:bCs/>
          <w:color w:val="000000" w:themeColor="text1"/>
          <w:sz w:val="20"/>
          <w:szCs w:val="24"/>
        </w:rPr>
        <w:t xml:space="preserve"> </w:t>
      </w:r>
      <w:proofErr w:type="spellStart"/>
      <w:r w:rsidRPr="00F3625A">
        <w:rPr>
          <w:rFonts w:asciiTheme="majorHAnsi" w:hAnsiTheme="majorHAnsi" w:cs="Arial"/>
          <w:bCs/>
          <w:color w:val="000000" w:themeColor="text1"/>
          <w:sz w:val="20"/>
          <w:szCs w:val="24"/>
        </w:rPr>
        <w:t>Kalan</w:t>
      </w:r>
      <w:proofErr w:type="spellEnd"/>
      <w:r w:rsidRPr="00F3625A">
        <w:rPr>
          <w:rFonts w:asciiTheme="majorHAnsi" w:hAnsiTheme="majorHAnsi" w:cs="Arial"/>
          <w:bCs/>
          <w:color w:val="000000" w:themeColor="text1"/>
          <w:sz w:val="20"/>
          <w:szCs w:val="24"/>
        </w:rPr>
        <w:t>, </w:t>
      </w:r>
      <w:proofErr w:type="spellStart"/>
      <w:r w:rsidRPr="00F3625A">
        <w:rPr>
          <w:rFonts w:asciiTheme="majorHAnsi" w:hAnsiTheme="majorHAnsi" w:cs="Arial"/>
          <w:bCs/>
          <w:color w:val="000000" w:themeColor="text1"/>
          <w:sz w:val="20"/>
          <w:szCs w:val="24"/>
        </w:rPr>
        <w:t>Ferozpur</w:t>
      </w:r>
      <w:proofErr w:type="spellEnd"/>
      <w:r w:rsidRPr="00F3625A">
        <w:rPr>
          <w:rFonts w:asciiTheme="majorHAnsi" w:hAnsiTheme="majorHAnsi" w:cs="Arial"/>
          <w:bCs/>
          <w:color w:val="000000" w:themeColor="text1"/>
          <w:sz w:val="20"/>
          <w:szCs w:val="24"/>
        </w:rPr>
        <w:t xml:space="preserve"> G.T. Road, Moga-42001, Punjab, India</w:t>
      </w:r>
    </w:p>
    <w:p w:rsidR="003D7890" w:rsidRPr="00F3625A" w:rsidRDefault="003D7890" w:rsidP="003D7890">
      <w:pPr>
        <w:spacing w:after="0" w:line="240" w:lineRule="auto"/>
        <w:rPr>
          <w:rFonts w:asciiTheme="majorHAnsi" w:hAnsiTheme="majorHAnsi" w:cs="Arial"/>
          <w:color w:val="000000" w:themeColor="text1"/>
          <w:sz w:val="20"/>
          <w:szCs w:val="24"/>
        </w:rPr>
      </w:pPr>
      <w:proofErr w:type="spellStart"/>
      <w:r w:rsidRPr="00F3625A">
        <w:rPr>
          <w:rFonts w:asciiTheme="majorHAnsi" w:hAnsiTheme="majorHAnsi" w:cs="Arial"/>
          <w:color w:val="000000" w:themeColor="text1"/>
          <w:sz w:val="20"/>
          <w:szCs w:val="24"/>
        </w:rPr>
        <w:t>Phone.No</w:t>
      </w:r>
      <w:proofErr w:type="spellEnd"/>
      <w:r w:rsidRPr="00F3625A">
        <w:rPr>
          <w:rFonts w:asciiTheme="majorHAnsi" w:hAnsiTheme="majorHAnsi" w:cs="Arial"/>
          <w:color w:val="000000" w:themeColor="text1"/>
          <w:sz w:val="20"/>
          <w:szCs w:val="24"/>
        </w:rPr>
        <w:t>: +91-8059889909, +91-9461322911 </w:t>
      </w:r>
    </w:p>
    <w:p w:rsidR="003D7890" w:rsidRPr="00F3625A" w:rsidRDefault="003D7890" w:rsidP="003D7890">
      <w:pPr>
        <w:spacing w:after="0" w:line="240" w:lineRule="auto"/>
        <w:rPr>
          <w:rFonts w:asciiTheme="majorHAnsi" w:hAnsiTheme="majorHAnsi" w:cs="Arial"/>
          <w:color w:val="000000" w:themeColor="text1"/>
          <w:sz w:val="20"/>
          <w:szCs w:val="24"/>
        </w:rPr>
      </w:pPr>
      <w:r w:rsidRPr="00F3625A">
        <w:rPr>
          <w:rFonts w:asciiTheme="majorHAnsi" w:hAnsiTheme="majorHAnsi" w:cs="Arial"/>
          <w:color w:val="000000" w:themeColor="text1"/>
          <w:sz w:val="20"/>
          <w:szCs w:val="24"/>
        </w:rPr>
        <w:t>Email: </w:t>
      </w:r>
      <w:hyperlink r:id="rId4" w:tgtFrame="_blank" w:history="1">
        <w:r w:rsidRPr="00F3625A">
          <w:rPr>
            <w:rStyle w:val="Hyperlink"/>
            <w:rFonts w:asciiTheme="majorHAnsi" w:hAnsiTheme="majorHAnsi" w:cs="Arial"/>
            <w:color w:val="000000" w:themeColor="text1"/>
            <w:sz w:val="20"/>
            <w:szCs w:val="24"/>
          </w:rPr>
          <w:t>sidh.mehan@gmail.com</w:t>
        </w:r>
      </w:hyperlink>
      <w:r w:rsidRPr="00F3625A">
        <w:rPr>
          <w:rFonts w:asciiTheme="majorHAnsi" w:hAnsiTheme="majorHAnsi" w:cs="Arial"/>
          <w:color w:val="000000" w:themeColor="text1"/>
          <w:sz w:val="20"/>
          <w:szCs w:val="24"/>
        </w:rPr>
        <w:t>, </w:t>
      </w:r>
      <w:hyperlink r:id="rId5" w:tgtFrame="_blank" w:history="1">
        <w:r w:rsidRPr="00F3625A">
          <w:rPr>
            <w:rStyle w:val="Hyperlink"/>
            <w:rFonts w:asciiTheme="majorHAnsi" w:hAnsiTheme="majorHAnsi" w:cs="Arial"/>
            <w:color w:val="000000" w:themeColor="text1"/>
            <w:sz w:val="20"/>
            <w:szCs w:val="24"/>
          </w:rPr>
          <w:t>isf.mehan@gmail.com</w:t>
        </w:r>
      </w:hyperlink>
      <w:r w:rsidRPr="00F3625A">
        <w:rPr>
          <w:rFonts w:asciiTheme="majorHAnsi" w:hAnsiTheme="majorHAnsi" w:cs="Arial"/>
          <w:color w:val="000000" w:themeColor="text1"/>
          <w:sz w:val="20"/>
          <w:szCs w:val="24"/>
        </w:rPr>
        <w:t> </w:t>
      </w:r>
    </w:p>
    <w:p w:rsidR="003D7890" w:rsidRPr="00F3625A" w:rsidRDefault="003D7890" w:rsidP="003D7890">
      <w:pPr>
        <w:spacing w:after="0" w:line="240" w:lineRule="auto"/>
        <w:rPr>
          <w:rFonts w:asciiTheme="majorHAnsi" w:hAnsiTheme="majorHAnsi" w:cs="Arial"/>
          <w:color w:val="000000" w:themeColor="text1"/>
          <w:sz w:val="20"/>
          <w:szCs w:val="24"/>
        </w:rPr>
      </w:pPr>
      <w:r w:rsidRPr="00F3625A">
        <w:rPr>
          <w:rFonts w:asciiTheme="majorHAnsi" w:hAnsiTheme="majorHAnsi" w:cs="Arial"/>
          <w:color w:val="000000" w:themeColor="text1"/>
          <w:sz w:val="20"/>
          <w:szCs w:val="24"/>
        </w:rPr>
        <w:t>Official Personal Web Link: </w:t>
      </w:r>
      <w:hyperlink r:id="rId6" w:tgtFrame="_blank" w:history="1">
        <w:r w:rsidRPr="00F3625A">
          <w:rPr>
            <w:rStyle w:val="Hyperlink"/>
            <w:rFonts w:asciiTheme="majorHAnsi" w:hAnsiTheme="majorHAnsi" w:cs="Arial"/>
            <w:color w:val="000000" w:themeColor="text1"/>
            <w:sz w:val="20"/>
            <w:szCs w:val="24"/>
          </w:rPr>
          <w:t>http://www.isfcp.org/node/5496</w:t>
        </w:r>
      </w:hyperlink>
    </w:p>
    <w:p w:rsidR="003D7890" w:rsidRPr="00F3625A" w:rsidRDefault="003D7890" w:rsidP="003D7890">
      <w:pPr>
        <w:spacing w:after="0" w:line="240" w:lineRule="auto"/>
        <w:rPr>
          <w:rFonts w:asciiTheme="majorHAnsi" w:hAnsiTheme="majorHAnsi" w:cs="Arial"/>
          <w:color w:val="000000" w:themeColor="text1"/>
          <w:sz w:val="20"/>
          <w:szCs w:val="24"/>
        </w:rPr>
      </w:pPr>
      <w:r w:rsidRPr="00F3625A">
        <w:rPr>
          <w:rFonts w:asciiTheme="majorHAnsi" w:hAnsiTheme="majorHAnsi" w:cs="Arial"/>
          <w:color w:val="000000" w:themeColor="text1"/>
          <w:sz w:val="20"/>
          <w:szCs w:val="24"/>
        </w:rPr>
        <w:t>Website: </w:t>
      </w:r>
      <w:hyperlink r:id="rId7" w:tgtFrame="_blank" w:history="1">
        <w:r w:rsidRPr="00F3625A">
          <w:rPr>
            <w:rStyle w:val="Hyperlink"/>
            <w:rFonts w:asciiTheme="majorHAnsi" w:hAnsiTheme="majorHAnsi" w:cs="Arial"/>
            <w:color w:val="000000" w:themeColor="text1"/>
            <w:sz w:val="20"/>
            <w:szCs w:val="24"/>
          </w:rPr>
          <w:t>www.isfcp.org</w:t>
        </w:r>
      </w:hyperlink>
    </w:p>
    <w:p w:rsidR="003D7890" w:rsidRDefault="003D7890" w:rsidP="003D7890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9165D1" w:rsidRPr="003D7890" w:rsidRDefault="00267883" w:rsidP="003A2A22">
      <w:pPr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3D7890">
        <w:rPr>
          <w:rFonts w:ascii="Times New Roman" w:hAnsi="Times New Roman" w:cs="Times New Roman"/>
          <w:b/>
          <w:sz w:val="24"/>
          <w:szCs w:val="28"/>
          <w:u w:val="single"/>
        </w:rPr>
        <w:t>Abstract</w:t>
      </w:r>
    </w:p>
    <w:p w:rsidR="00825FCE" w:rsidRDefault="00267883" w:rsidP="00503B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028">
        <w:rPr>
          <w:rFonts w:ascii="Times New Roman" w:hAnsi="Times New Roman" w:cs="Times New Roman"/>
          <w:bCs/>
          <w:sz w:val="24"/>
          <w:szCs w:val="24"/>
        </w:rPr>
        <w:t>Brain Hemorrhage</w:t>
      </w:r>
      <w:r w:rsidRPr="004630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028">
        <w:rPr>
          <w:rFonts w:ascii="Times New Roman" w:hAnsi="Times New Roman" w:cs="Times New Roman"/>
          <w:sz w:val="24"/>
          <w:szCs w:val="24"/>
        </w:rPr>
        <w:t>is a</w:t>
      </w:r>
      <w:r w:rsidR="00964CEE">
        <w:rPr>
          <w:rFonts w:ascii="Times New Roman" w:hAnsi="Times New Roman" w:cs="Times New Roman"/>
          <w:sz w:val="24"/>
          <w:szCs w:val="24"/>
        </w:rPr>
        <w:t>n</w:t>
      </w:r>
      <w:r w:rsidR="0009648D">
        <w:rPr>
          <w:rFonts w:ascii="Times New Roman" w:hAnsi="Times New Roman" w:cs="Times New Roman"/>
          <w:sz w:val="24"/>
          <w:szCs w:val="24"/>
        </w:rPr>
        <w:t xml:space="preserve"> interruption of blood supply</w:t>
      </w:r>
      <w:r w:rsidRPr="00463028">
        <w:rPr>
          <w:rFonts w:ascii="Times New Roman" w:hAnsi="Times New Roman" w:cs="Times New Roman"/>
          <w:sz w:val="24"/>
          <w:szCs w:val="24"/>
        </w:rPr>
        <w:t xml:space="preserve"> to a part of brain typically by a thrombus or embolus occlusion. It is characterized by oxidative stress, excitotoxicity, neurotransmitter deficits, mitochondrial energy failure and neuronal cell death tha</w:t>
      </w:r>
      <w:r w:rsidR="00825FCE">
        <w:rPr>
          <w:rFonts w:ascii="Times New Roman" w:hAnsi="Times New Roman" w:cs="Times New Roman"/>
          <w:sz w:val="24"/>
          <w:szCs w:val="24"/>
        </w:rPr>
        <w:t xml:space="preserve">t </w:t>
      </w:r>
      <w:r w:rsidR="001704ED">
        <w:rPr>
          <w:rFonts w:ascii="Times New Roman" w:hAnsi="Times New Roman" w:cs="Times New Roman"/>
          <w:sz w:val="24"/>
          <w:szCs w:val="24"/>
        </w:rPr>
        <w:t>lead</w:t>
      </w:r>
      <w:r w:rsidR="00825FCE">
        <w:rPr>
          <w:rFonts w:ascii="Times New Roman" w:hAnsi="Times New Roman" w:cs="Times New Roman"/>
          <w:sz w:val="24"/>
          <w:szCs w:val="24"/>
        </w:rPr>
        <w:t xml:space="preserve"> to behavioral and motor </w:t>
      </w:r>
      <w:r w:rsidR="00B930C2">
        <w:rPr>
          <w:rFonts w:ascii="Times New Roman" w:hAnsi="Times New Roman" w:cs="Times New Roman"/>
          <w:sz w:val="24"/>
          <w:szCs w:val="24"/>
        </w:rPr>
        <w:t>dysfunctions.</w:t>
      </w:r>
      <w:r w:rsidR="004D531C">
        <w:rPr>
          <w:rFonts w:ascii="Times New Roman" w:hAnsi="Times New Roman" w:cs="Times New Roman"/>
          <w:sz w:val="24"/>
          <w:szCs w:val="24"/>
        </w:rPr>
        <w:t xml:space="preserve"> After cerebral hemorrhage or post hemorrhagic surgeries</w:t>
      </w:r>
      <w:r w:rsidR="00503B5D">
        <w:rPr>
          <w:rFonts w:ascii="Times New Roman" w:hAnsi="Times New Roman" w:cs="Times New Roman"/>
          <w:sz w:val="24"/>
          <w:szCs w:val="24"/>
        </w:rPr>
        <w:t>,</w:t>
      </w:r>
      <w:r w:rsidR="004D531C">
        <w:rPr>
          <w:rFonts w:ascii="Times New Roman" w:hAnsi="Times New Roman" w:cs="Times New Roman"/>
          <w:sz w:val="24"/>
          <w:szCs w:val="24"/>
        </w:rPr>
        <w:t xml:space="preserve"> most of the </w:t>
      </w:r>
      <w:r w:rsidR="00503B5D">
        <w:rPr>
          <w:rFonts w:ascii="Times New Roman" w:hAnsi="Times New Roman" w:cs="Times New Roman"/>
          <w:sz w:val="24"/>
          <w:szCs w:val="24"/>
        </w:rPr>
        <w:t xml:space="preserve">patients </w:t>
      </w:r>
      <w:r w:rsidR="004D531C">
        <w:rPr>
          <w:rFonts w:ascii="Times New Roman" w:hAnsi="Times New Roman" w:cs="Times New Roman"/>
          <w:sz w:val="24"/>
          <w:szCs w:val="24"/>
        </w:rPr>
        <w:t>suffering from</w:t>
      </w:r>
      <w:r w:rsidR="00C83EE1">
        <w:rPr>
          <w:rFonts w:ascii="Times New Roman" w:hAnsi="Times New Roman" w:cs="Times New Roman"/>
          <w:sz w:val="24"/>
          <w:szCs w:val="24"/>
        </w:rPr>
        <w:t xml:space="preserve"> </w:t>
      </w:r>
      <w:r w:rsidR="002A0106">
        <w:rPr>
          <w:rFonts w:ascii="Times New Roman" w:hAnsi="Times New Roman" w:cs="Times New Roman"/>
          <w:sz w:val="24"/>
          <w:szCs w:val="24"/>
        </w:rPr>
        <w:t>impairment</w:t>
      </w:r>
      <w:r w:rsidR="00C83EE1">
        <w:rPr>
          <w:rFonts w:ascii="Times New Roman" w:hAnsi="Times New Roman" w:cs="Times New Roman"/>
          <w:sz w:val="24"/>
          <w:szCs w:val="24"/>
        </w:rPr>
        <w:t xml:space="preserve"> in memory, grip strength, posture and cognitive </w:t>
      </w:r>
      <w:r w:rsidR="003A1492">
        <w:rPr>
          <w:rFonts w:ascii="Times New Roman" w:hAnsi="Times New Roman" w:cs="Times New Roman"/>
          <w:sz w:val="24"/>
          <w:szCs w:val="24"/>
        </w:rPr>
        <w:t>dysfunction</w:t>
      </w:r>
      <w:r w:rsidR="00C83EE1">
        <w:rPr>
          <w:rFonts w:ascii="Times New Roman" w:hAnsi="Times New Roman" w:cs="Times New Roman"/>
          <w:sz w:val="24"/>
          <w:szCs w:val="24"/>
        </w:rPr>
        <w:t xml:space="preserve">. </w:t>
      </w:r>
      <w:r w:rsidR="00B930C2">
        <w:rPr>
          <w:rFonts w:ascii="Times New Roman" w:hAnsi="Times New Roman" w:cs="Times New Roman"/>
          <w:sz w:val="24"/>
          <w:szCs w:val="24"/>
        </w:rPr>
        <w:t xml:space="preserve">Mitochondrial complexes enzyme dysfunction increases neuroinflammatory cytokines which may be key pathological hallmarks of cerebral hemorrhage. </w:t>
      </w:r>
      <w:r w:rsidR="004539F2">
        <w:rPr>
          <w:rFonts w:ascii="Times New Roman" w:hAnsi="Times New Roman" w:cs="Times New Roman"/>
          <w:sz w:val="24"/>
          <w:szCs w:val="24"/>
        </w:rPr>
        <w:t xml:space="preserve">As a part of the mitochondrial respiratory </w:t>
      </w:r>
      <w:r w:rsidR="003C3638">
        <w:rPr>
          <w:rFonts w:ascii="Times New Roman" w:hAnsi="Times New Roman" w:cs="Times New Roman"/>
          <w:sz w:val="24"/>
          <w:szCs w:val="24"/>
        </w:rPr>
        <w:t>chain</w:t>
      </w:r>
      <w:r w:rsidR="004539F2">
        <w:rPr>
          <w:rFonts w:ascii="Times New Roman" w:hAnsi="Times New Roman" w:cs="Times New Roman"/>
          <w:sz w:val="24"/>
          <w:szCs w:val="24"/>
        </w:rPr>
        <w:t xml:space="preserve">, Coenzyme Q10 can effectively remove free radicals and can prevent damage to biological membranes of neurons. </w:t>
      </w:r>
      <w:r w:rsidR="00503B5D">
        <w:rPr>
          <w:rFonts w:ascii="Times New Roman" w:hAnsi="Times New Roman" w:cs="Times New Roman"/>
          <w:sz w:val="24"/>
          <w:szCs w:val="24"/>
        </w:rPr>
        <w:t xml:space="preserve">Solanesol is </w:t>
      </w:r>
      <w:r w:rsidR="00503B5D" w:rsidRPr="00825FCE">
        <w:rPr>
          <w:rFonts w:ascii="Times New Roman" w:hAnsi="Times New Roman" w:cs="Times New Roman"/>
          <w:sz w:val="24"/>
          <w:szCs w:val="24"/>
        </w:rPr>
        <w:t xml:space="preserve">long- chain </w:t>
      </w:r>
      <w:proofErr w:type="spellStart"/>
      <w:r w:rsidR="00503B5D" w:rsidRPr="00825FCE">
        <w:rPr>
          <w:rFonts w:ascii="Times New Roman" w:hAnsi="Times New Roman" w:cs="Times New Roman"/>
          <w:sz w:val="24"/>
          <w:szCs w:val="24"/>
        </w:rPr>
        <w:t>terpenoid</w:t>
      </w:r>
      <w:proofErr w:type="spellEnd"/>
      <w:r w:rsidR="00503B5D" w:rsidRPr="00825FCE">
        <w:rPr>
          <w:rFonts w:ascii="Times New Roman" w:hAnsi="Times New Roman" w:cs="Times New Roman"/>
          <w:sz w:val="24"/>
          <w:szCs w:val="24"/>
        </w:rPr>
        <w:t xml:space="preserve"> alcohol</w:t>
      </w:r>
      <w:r w:rsidR="00503B5D">
        <w:rPr>
          <w:rFonts w:ascii="Times New Roman" w:hAnsi="Times New Roman" w:cs="Times New Roman"/>
          <w:sz w:val="24"/>
          <w:szCs w:val="24"/>
        </w:rPr>
        <w:t xml:space="preserve"> and</w:t>
      </w:r>
      <w:r w:rsidR="00503B5D" w:rsidRPr="00825FCE">
        <w:rPr>
          <w:rFonts w:ascii="Times New Roman" w:hAnsi="Times New Roman" w:cs="Times New Roman"/>
          <w:sz w:val="24"/>
          <w:szCs w:val="24"/>
        </w:rPr>
        <w:t xml:space="preserve"> is the starting material for many high-value bio-chemicals, including Coenzyme Q9 (CoQ9), Coenzyme Q10 (CoQ10) and vitamin K analogues.</w:t>
      </w:r>
      <w:r w:rsidR="00503B5D">
        <w:rPr>
          <w:rFonts w:ascii="Times New Roman" w:hAnsi="Times New Roman" w:cs="Times New Roman"/>
          <w:sz w:val="24"/>
          <w:szCs w:val="24"/>
        </w:rPr>
        <w:t xml:space="preserve"> </w:t>
      </w:r>
      <w:r w:rsidR="004539F2">
        <w:rPr>
          <w:rFonts w:ascii="Times New Roman" w:hAnsi="Times New Roman" w:cs="Times New Roman"/>
          <w:sz w:val="24"/>
          <w:szCs w:val="24"/>
        </w:rPr>
        <w:t xml:space="preserve">Moreover, it prevents the opening of mitochondrial membrane transition pore, thereby counteracting cell death events such as ATP depletion, release of </w:t>
      </w:r>
      <w:proofErr w:type="spellStart"/>
      <w:r w:rsidR="004539F2">
        <w:rPr>
          <w:rFonts w:ascii="Times New Roman" w:hAnsi="Times New Roman" w:cs="Times New Roman"/>
          <w:sz w:val="24"/>
          <w:szCs w:val="24"/>
        </w:rPr>
        <w:t>cytochrome</w:t>
      </w:r>
      <w:proofErr w:type="spellEnd"/>
      <w:r w:rsidR="004539F2">
        <w:rPr>
          <w:rFonts w:ascii="Times New Roman" w:hAnsi="Times New Roman" w:cs="Times New Roman"/>
          <w:sz w:val="24"/>
          <w:szCs w:val="24"/>
        </w:rPr>
        <w:t xml:space="preserve"> c into the </w:t>
      </w:r>
      <w:proofErr w:type="spellStart"/>
      <w:r w:rsidR="004539F2">
        <w:rPr>
          <w:rFonts w:ascii="Times New Roman" w:hAnsi="Times New Roman" w:cs="Times New Roman"/>
          <w:sz w:val="24"/>
          <w:szCs w:val="24"/>
        </w:rPr>
        <w:t>cytosol</w:t>
      </w:r>
      <w:proofErr w:type="spellEnd"/>
      <w:r w:rsidR="004539F2">
        <w:rPr>
          <w:rFonts w:ascii="Times New Roman" w:hAnsi="Times New Roman" w:cs="Times New Roman"/>
          <w:sz w:val="24"/>
          <w:szCs w:val="24"/>
        </w:rPr>
        <w:t>, DNA fragmentation etc. It also exerts an anti</w:t>
      </w:r>
      <w:r w:rsidR="00F060C4">
        <w:rPr>
          <w:rFonts w:ascii="Times New Roman" w:hAnsi="Times New Roman" w:cs="Times New Roman"/>
          <w:sz w:val="24"/>
          <w:szCs w:val="24"/>
        </w:rPr>
        <w:t>-inflammatory effect by i</w:t>
      </w:r>
      <w:r w:rsidR="009B1CB9">
        <w:rPr>
          <w:rFonts w:ascii="Times New Roman" w:hAnsi="Times New Roman" w:cs="Times New Roman"/>
          <w:sz w:val="24"/>
          <w:szCs w:val="24"/>
        </w:rPr>
        <w:t>nfluencing the expression of NFk</w:t>
      </w:r>
      <w:r w:rsidR="00F060C4">
        <w:rPr>
          <w:rFonts w:ascii="Times New Roman" w:hAnsi="Times New Roman" w:cs="Times New Roman"/>
          <w:sz w:val="24"/>
          <w:szCs w:val="24"/>
        </w:rPr>
        <w:t>B1 dependent genes thus preventing the neuroinflammation.</w:t>
      </w:r>
      <w:r w:rsidR="001E4816">
        <w:rPr>
          <w:rFonts w:ascii="Times New Roman" w:hAnsi="Times New Roman" w:cs="Times New Roman"/>
          <w:sz w:val="24"/>
          <w:szCs w:val="24"/>
        </w:rPr>
        <w:t xml:space="preserve"> </w:t>
      </w:r>
      <w:r w:rsidR="004D531C">
        <w:rPr>
          <w:rFonts w:ascii="Times New Roman" w:hAnsi="Times New Roman" w:cs="Times New Roman"/>
          <w:sz w:val="24"/>
          <w:szCs w:val="24"/>
        </w:rPr>
        <w:t xml:space="preserve">Therefore, in current investigation, </w:t>
      </w:r>
      <w:r w:rsidR="00503B5D">
        <w:rPr>
          <w:rFonts w:ascii="Times New Roman" w:hAnsi="Times New Roman" w:cs="Times New Roman"/>
          <w:sz w:val="24"/>
          <w:szCs w:val="24"/>
        </w:rPr>
        <w:t xml:space="preserve">first time we explore the </w:t>
      </w:r>
      <w:r w:rsidR="004D531C">
        <w:rPr>
          <w:rFonts w:ascii="Times New Roman" w:hAnsi="Times New Roman" w:cs="Times New Roman"/>
          <w:sz w:val="24"/>
          <w:szCs w:val="24"/>
        </w:rPr>
        <w:t xml:space="preserve">neuroprotective strategies of coenzyme-Q10 precursor </w:t>
      </w:r>
      <w:r w:rsidR="004B0D9C">
        <w:rPr>
          <w:rFonts w:ascii="Times New Roman" w:hAnsi="Times New Roman" w:cs="Times New Roman"/>
          <w:sz w:val="24"/>
          <w:szCs w:val="24"/>
        </w:rPr>
        <w:t>Solanesol</w:t>
      </w:r>
      <w:r w:rsidR="001E4816">
        <w:rPr>
          <w:rFonts w:ascii="Times New Roman" w:hAnsi="Times New Roman" w:cs="Times New Roman"/>
          <w:sz w:val="24"/>
          <w:szCs w:val="24"/>
        </w:rPr>
        <w:t xml:space="preserve"> </w:t>
      </w:r>
      <w:r w:rsidR="00503B5D">
        <w:rPr>
          <w:rFonts w:ascii="Times New Roman" w:hAnsi="Times New Roman" w:cs="Times New Roman"/>
          <w:sz w:val="24"/>
          <w:szCs w:val="24"/>
        </w:rPr>
        <w:t xml:space="preserve">in </w:t>
      </w:r>
      <w:r w:rsidR="00503B5D" w:rsidRPr="00503B5D">
        <w:rPr>
          <w:rFonts w:ascii="Times New Roman" w:hAnsi="Times New Roman" w:cs="Times New Roman"/>
          <w:sz w:val="24"/>
          <w:szCs w:val="24"/>
        </w:rPr>
        <w:t xml:space="preserve">combined model of intracerebral and intraventricular hemorrhage using autologous </w:t>
      </w:r>
      <w:r w:rsidR="00503B5D">
        <w:rPr>
          <w:rFonts w:ascii="Times New Roman" w:hAnsi="Times New Roman" w:cs="Times New Roman"/>
          <w:sz w:val="24"/>
          <w:szCs w:val="24"/>
        </w:rPr>
        <w:t xml:space="preserve">blood-injection in rat brain. </w:t>
      </w:r>
    </w:p>
    <w:p w:rsidR="00E34134" w:rsidRPr="00825FCE" w:rsidRDefault="00893FDF" w:rsidP="003D78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890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FDF">
        <w:rPr>
          <w:rFonts w:ascii="Times New Roman" w:eastAsia="Calibri" w:hAnsi="Times New Roman" w:cs="Times New Roman"/>
          <w:sz w:val="24"/>
          <w:szCs w:val="24"/>
        </w:rPr>
        <w:t xml:space="preserve">Mitochondrial coenzyme-Q10, </w:t>
      </w:r>
      <w:r w:rsidRPr="00893FDF">
        <w:rPr>
          <w:rFonts w:ascii="Times New Roman" w:hAnsi="Times New Roman" w:cs="Times New Roman"/>
          <w:sz w:val="24"/>
          <w:szCs w:val="24"/>
        </w:rPr>
        <w:t>intracerebral and intraventricular brain hemorrhage</w:t>
      </w:r>
      <w:r w:rsidRPr="00893FD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neurodegeneration, adenosine tri-phosphate, memory/cognitive dysfunction</w:t>
      </w:r>
    </w:p>
    <w:sectPr w:rsidR="00E34134" w:rsidRPr="00825FCE" w:rsidSect="009165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7883"/>
    <w:rsid w:val="0009648D"/>
    <w:rsid w:val="000C477D"/>
    <w:rsid w:val="00124979"/>
    <w:rsid w:val="001704ED"/>
    <w:rsid w:val="0019063B"/>
    <w:rsid w:val="001A6F1E"/>
    <w:rsid w:val="001E4816"/>
    <w:rsid w:val="0022181D"/>
    <w:rsid w:val="0025604F"/>
    <w:rsid w:val="00267883"/>
    <w:rsid w:val="002A0106"/>
    <w:rsid w:val="002D6EA0"/>
    <w:rsid w:val="00316E69"/>
    <w:rsid w:val="003A1492"/>
    <w:rsid w:val="003A2A22"/>
    <w:rsid w:val="003C3638"/>
    <w:rsid w:val="003D7890"/>
    <w:rsid w:val="004539F2"/>
    <w:rsid w:val="00463028"/>
    <w:rsid w:val="004B0D9C"/>
    <w:rsid w:val="004D531C"/>
    <w:rsid w:val="00503B5D"/>
    <w:rsid w:val="00576354"/>
    <w:rsid w:val="005F56C6"/>
    <w:rsid w:val="0077301A"/>
    <w:rsid w:val="0079298D"/>
    <w:rsid w:val="007B41F1"/>
    <w:rsid w:val="00825FCE"/>
    <w:rsid w:val="00840619"/>
    <w:rsid w:val="00893FDF"/>
    <w:rsid w:val="009165D1"/>
    <w:rsid w:val="00923626"/>
    <w:rsid w:val="00964CEE"/>
    <w:rsid w:val="009B1CB9"/>
    <w:rsid w:val="00A6666C"/>
    <w:rsid w:val="00B1235C"/>
    <w:rsid w:val="00B930C2"/>
    <w:rsid w:val="00C83EE1"/>
    <w:rsid w:val="00CD1CBB"/>
    <w:rsid w:val="00E34134"/>
    <w:rsid w:val="00E928E6"/>
    <w:rsid w:val="00F060C4"/>
    <w:rsid w:val="00F36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5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7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D78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fcp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fcp.org/node/5496" TargetMode="External"/><Relationship Id="rId5" Type="http://schemas.openxmlformats.org/officeDocument/2006/relationships/hyperlink" Target="mailto:isf.mehan@gmail.com" TargetMode="External"/><Relationship Id="rId4" Type="http://schemas.openxmlformats.org/officeDocument/2006/relationships/hyperlink" Target="mailto:sidh.mehan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 User</cp:lastModifiedBy>
  <cp:revision>33</cp:revision>
  <dcterms:created xsi:type="dcterms:W3CDTF">2018-07-30T06:56:00Z</dcterms:created>
  <dcterms:modified xsi:type="dcterms:W3CDTF">2018-09-10T11:44:00Z</dcterms:modified>
</cp:coreProperties>
</file>