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Century Gothic" w:hAnsi="Century Gothic"/>
          <w:sz w:val="20"/>
          <w:lang w:val="en-IN" w:eastAsia="en-IN"/>
        </w:rPr>
      </w:pPr>
      <w:r>
        <w:rPr>
          <w:rFonts w:ascii="Century Gothic" w:hAnsi="Century Gothic"/>
          <w:color w:val="1F497D" w:themeColor="text2"/>
          <w:sz w:val="32"/>
          <w14:textFill>
            <w14:solidFill>
              <w14:schemeClr w14:val="tx2"/>
            </w14:solidFill>
          </w14:textFill>
        </w:rPr>
        <mc:AlternateContent>
          <mc:Choice Requires="wps">
            <w:drawing>
              <wp:anchor distT="0" distB="0" distL="114300" distR="114300" simplePos="0" relativeHeight="251659264" behindDoc="0" locked="0" layoutInCell="1" allowOverlap="1">
                <wp:simplePos x="0" y="0"/>
                <wp:positionH relativeFrom="column">
                  <wp:posOffset>-39370</wp:posOffset>
                </wp:positionH>
                <wp:positionV relativeFrom="paragraph">
                  <wp:posOffset>40005</wp:posOffset>
                </wp:positionV>
                <wp:extent cx="0" cy="532130"/>
                <wp:effectExtent l="0" t="0" r="19050" b="20320"/>
                <wp:wrapNone/>
                <wp:docPr id="2" name="Straight Connector 2"/>
                <wp:cNvGraphicFramePr/>
                <a:graphic xmlns:a="http://schemas.openxmlformats.org/drawingml/2006/main">
                  <a:graphicData uri="http://schemas.microsoft.com/office/word/2010/wordprocessingShape">
                    <wps:wsp>
                      <wps:cNvCnPr/>
                      <wps:spPr>
                        <a:xfrm>
                          <a:off x="0" y="0"/>
                          <a:ext cx="0" cy="53213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o:spt="20" style="position:absolute;left:0pt;margin-left:-3.1pt;margin-top:3.15pt;height:41.9pt;width:0pt;z-index:251659264;mso-width-relative:page;mso-height-relative:page;" filled="f" stroked="t" coordsize="21600,21600" o:gfxdata="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30ndYAAAAGAQAADwAAAAAAAAABACAAAAAiAAAAZHJzL2Rv&#10;d25yZXYueG1sUEsBAhQAFAAAAAgAh07iQHcBoAjKAQAAiAMAAA4AAAAAAAAAAQAgAAAAJQEAAGRy&#10;cy9lMm9Eb2MueG1sUEsFBgAAAAAGAAYAWQEAAGEFAAAAAA==&#10;">
                <v:fill on="f" focussize="0,0"/>
                <v:stroke weight="1.5pt" color="#4A7EBB [3204]" joinstyle="round"/>
                <v:imagedata o:title=""/>
                <o:lock v:ext="edit" aspectratio="f"/>
              </v:line>
            </w:pict>
          </mc:Fallback>
        </mc:AlternateContent>
      </w:r>
      <w:r>
        <w:rPr>
          <w:rFonts w:ascii="Century Gothic" w:hAnsi="Century Gothic"/>
          <w:color w:val="1F497D" w:themeColor="text2"/>
          <w:sz w:val="32"/>
          <w14:textFill>
            <w14:solidFill>
              <w14:schemeClr w14:val="tx2"/>
            </w14:solidFill>
          </w14:textFill>
        </w:rPr>
        <w:drawing>
          <wp:anchor distT="0" distB="0" distL="114300" distR="114300" simplePos="0" relativeHeight="251658240" behindDoc="1" locked="0" layoutInCell="1" allowOverlap="1">
            <wp:simplePos x="0" y="0"/>
            <wp:positionH relativeFrom="column">
              <wp:posOffset>236855</wp:posOffset>
            </wp:positionH>
            <wp:positionV relativeFrom="paragraph">
              <wp:posOffset>-31750</wp:posOffset>
            </wp:positionV>
            <wp:extent cx="1097280" cy="572135"/>
            <wp:effectExtent l="0" t="0" r="7620" b="0"/>
            <wp:wrapTight wrapText="bothSides">
              <wp:wrapPolygon>
                <wp:start x="375" y="0"/>
                <wp:lineTo x="0" y="15822"/>
                <wp:lineTo x="8625" y="20138"/>
                <wp:lineTo x="13875" y="20857"/>
                <wp:lineTo x="16125" y="20857"/>
                <wp:lineTo x="20625" y="20138"/>
                <wp:lineTo x="21375" y="19418"/>
                <wp:lineTo x="21375" y="9350"/>
                <wp:lineTo x="16500" y="5754"/>
                <wp:lineTo x="7125" y="0"/>
                <wp:lineTo x="37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72135"/>
                    </a:xfrm>
                    <a:prstGeom prst="rect">
                      <a:avLst/>
                    </a:prstGeom>
                  </pic:spPr>
                </pic:pic>
              </a:graphicData>
            </a:graphic>
          </wp:anchor>
        </w:drawing>
      </w:r>
      <w:r>
        <w:rPr>
          <w:rFonts w:ascii="Century Gothic" w:hAnsi="Century Gothic"/>
          <w:color w:val="1F497D" w:themeColor="text2"/>
          <w:sz w:val="32"/>
          <w:lang w:val="en-IN" w:eastAsia="en-IN"/>
          <w14:textFill>
            <w14:solidFill>
              <w14:schemeClr w14:val="tx2"/>
            </w14:solidFill>
          </w14:textFill>
        </w:rPr>
        <w:t>World Summit on</w:t>
      </w:r>
    </w:p>
    <w:p>
      <w:pPr>
        <w:pStyle w:val="6"/>
        <w:rPr>
          <w:rFonts w:ascii="Century Gothic" w:hAnsi="Century Gothic"/>
          <w:b/>
          <w:color w:val="1F497D" w:themeColor="text2"/>
          <w:sz w:val="44"/>
          <w:lang w:val="en-IN" w:eastAsia="en-IN"/>
          <w14:textFill>
            <w14:solidFill>
              <w14:schemeClr w14:val="tx2"/>
            </w14:solidFill>
          </w14:textFill>
        </w:rPr>
      </w:pPr>
      <w:r>
        <w:rPr>
          <w:rFonts w:ascii="Century Gothic" w:hAnsi="Century Gothic"/>
          <w:b/>
          <w:color w:val="1F497D" w:themeColor="text2"/>
          <w:sz w:val="44"/>
          <w:lang w:val="en-IN" w:eastAsia="en-IN"/>
          <w14:textFill>
            <w14:solidFill>
              <w14:schemeClr w14:val="tx2"/>
            </w14:solidFill>
          </w14:textFill>
        </w:rPr>
        <w:t>Climate Change and Global Warming</w:t>
      </w:r>
    </w:p>
    <w:p>
      <w:pPr>
        <w:pStyle w:val="6"/>
        <w:rPr>
          <w:rFonts w:ascii="Century Gothic" w:hAnsi="Century Gothic"/>
          <w:color w:val="1F497D" w:themeColor="text2"/>
          <w:sz w:val="24"/>
          <w14:textFill>
            <w14:solidFill>
              <w14:schemeClr w14:val="tx2"/>
            </w14:solidFill>
          </w14:textFill>
        </w:rPr>
      </w:pPr>
      <w:r>
        <w:rPr>
          <w:rFonts w:ascii="Century Gothic" w:hAnsi="Century Gothic"/>
          <w:color w:val="1F497D" w:themeColor="text2"/>
          <w:sz w:val="24"/>
          <w:lang w:val="en-IN" w:eastAsia="en-IN"/>
          <w14:textFill>
            <w14:solidFill>
              <w14:schemeClr w14:val="tx2"/>
            </w14:solidFill>
          </w14:textFill>
        </w:rPr>
        <w:t xml:space="preserve">                                                                                      November, 26-27, 2018 |Tokyo | Japan</w:t>
      </w:r>
    </w:p>
    <w:p>
      <w:pPr>
        <w:pStyle w:val="6"/>
        <w:spacing w:before="5"/>
        <w:rPr>
          <w:sz w:val="10"/>
        </w:rPr>
      </w:pPr>
      <w:r>
        <mc:AlternateContent>
          <mc:Choice Requires="wps">
            <w:drawing>
              <wp:anchor distT="0" distB="0" distL="0" distR="0" simplePos="0" relativeHeight="251658240" behindDoc="0" locked="0" layoutInCell="1" allowOverlap="1">
                <wp:simplePos x="0" y="0"/>
                <wp:positionH relativeFrom="page">
                  <wp:posOffset>169545</wp:posOffset>
                </wp:positionH>
                <wp:positionV relativeFrom="paragraph">
                  <wp:posOffset>123190</wp:posOffset>
                </wp:positionV>
                <wp:extent cx="7200900" cy="0"/>
                <wp:effectExtent l="0" t="0" r="19050" b="19050"/>
                <wp:wrapTopAndBottom/>
                <wp:docPr id="7" name="Line 4"/>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ln>
                      </wps:spPr>
                      <wps:bodyPr/>
                    </wps:wsp>
                  </a:graphicData>
                </a:graphic>
              </wp:anchor>
            </w:drawing>
          </mc:Choice>
          <mc:Fallback>
            <w:pict>
              <v:line id="Line 4" o:spid="_x0000_s1026" o:spt="20" style="position:absolute;left:0pt;margin-left:13.35pt;margin-top:9.7pt;height:0pt;width:567pt;mso-position-horizontal-relative:page;mso-wrap-distance-bottom:0pt;mso-wrap-distance-top:0pt;z-index:251658240;mso-width-relative:page;mso-height-relative:page;" filled="f" stroked="t" coordsize="21600,21600" o:gfxdata="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QudCTdcAAAAJAQAADwAAAAAAAAABACAAAAAi&#10;AAAAZHJzL2Rvd25yZXYueG1sUEsBAhQAFAAAAAgAh07iQBzCbMzSAQAApAMAAA4AAAAAAAAAAQAg&#10;AAAAJgEAAGRycy9lMm9Eb2MueG1sUEsFBgAAAAAGAAYAWQEAAGoFAAAAAA==&#10;">
                <v:fill on="f" focussize="0,0"/>
                <v:stroke weight="2pt" color="#558ED5 [1951]" joinstyle="round"/>
                <v:imagedata o:title=""/>
                <o:lock v:ext="edit" aspectratio="f"/>
                <w10:wrap type="topAndBottom"/>
              </v:line>
            </w:pict>
          </mc:Fallback>
        </mc:AlternateContent>
      </w:r>
    </w:p>
    <w:p>
      <w:pPr>
        <w:pStyle w:val="2"/>
        <w:ind w:left="1105" w:right="1062"/>
        <w:jc w:val="center"/>
      </w:pPr>
      <w:r>
        <w:rPr>
          <w:color w:val="585858"/>
          <w:u w:val="thick" w:color="585858"/>
        </w:rPr>
        <w:t>Abstract Template</w:t>
      </w:r>
    </w:p>
    <w:p>
      <w:pPr>
        <w:pStyle w:val="6"/>
        <w:rPr>
          <w:b/>
          <w:sz w:val="14"/>
        </w:rPr>
      </w:pPr>
    </w:p>
    <w:p>
      <w:pPr>
        <w:spacing w:before="92"/>
        <w:ind w:left="594" w:right="151"/>
        <w:rPr>
          <w:b/>
        </w:rPr>
      </w:pPr>
      <w:r>
        <w:rPr>
          <w:b/>
          <w:color w:val="585858"/>
        </w:rPr>
        <w:t xml:space="preserve">Title: </w:t>
      </w:r>
      <w:r>
        <w:rPr>
          <w:rFonts w:asciiTheme="majorBidi" w:hAnsiTheme="majorBidi" w:cstheme="majorBidi"/>
          <w:b/>
          <w:bCs/>
          <w:lang w:val="en-US"/>
        </w:rPr>
        <w:t>GLOBAL WARMING and THE LAW of  ENERGY CONSERVATION</w:t>
      </w:r>
    </w:p>
    <w:p>
      <w:pPr>
        <w:spacing w:after="0" w:line="240" w:lineRule="auto"/>
        <w:jc w:val="both"/>
        <w:rPr>
          <w:rFonts w:ascii="Times New Roman" w:hAnsi="Times New Roman" w:cs="Times New Roman"/>
          <w:sz w:val="20"/>
          <w:szCs w:val="20"/>
        </w:rPr>
      </w:pPr>
      <w:r>
        <w:rPr>
          <w:lang w:val="en-US"/>
        </w:rPr>
        <w:t xml:space="preserve">                     </w:t>
      </w:r>
      <w:r>
        <w:rPr>
          <w:rFonts w:ascii="Times New Roman" w:hAnsi="Times New Roman" w:cs="Times New Roman"/>
          <w:sz w:val="20"/>
          <w:szCs w:val="20"/>
        </w:rPr>
        <w:t>Vitaly A. Prisyazhniuk* , Doctor of Physical Chemistry,</w:t>
      </w:r>
    </w:p>
    <w:p>
      <w:pPr>
        <w:spacing w:after="0" w:line="240" w:lineRule="auto"/>
        <w:ind w:firstLine="1100" w:firstLineChars="550"/>
        <w:jc w:val="both"/>
        <w:rPr>
          <w:rFonts w:ascii="Times New Roman" w:hAnsi="Times New Roman" w:eastAsia="AdvGulliv-R" w:cs="Times New Roman"/>
          <w:color w:val="000000"/>
          <w:sz w:val="20"/>
          <w:szCs w:val="20"/>
        </w:rPr>
      </w:pPr>
      <w:r>
        <w:rPr>
          <w:sz w:val="20"/>
          <w:szCs w:val="20"/>
          <w:lang w:val="en-US"/>
        </w:rPr>
        <w:t xml:space="preserve">Retired. </w:t>
      </w:r>
      <w:r>
        <w:rPr>
          <w:rFonts w:ascii="Times New Roman" w:hAnsi="Times New Roman" w:eastAsia="AdvGulliv-R" w:cs="Times New Roman"/>
          <w:color w:val="000000"/>
          <w:sz w:val="20"/>
          <w:szCs w:val="20"/>
        </w:rPr>
        <w:t>Former Head of laboratory, Institute of Problems</w:t>
      </w:r>
      <w:r>
        <w:rPr>
          <w:rFonts w:ascii="Times New Roman" w:hAnsi="Times New Roman" w:eastAsia="AdvGulliv-R" w:cs="Times New Roman"/>
          <w:color w:val="000000"/>
          <w:sz w:val="20"/>
          <w:szCs w:val="20"/>
          <w:lang w:val="en-US"/>
        </w:rPr>
        <w:t xml:space="preserve"> </w:t>
      </w:r>
      <w:r>
        <w:rPr>
          <w:rFonts w:ascii="Times New Roman" w:hAnsi="Times New Roman" w:eastAsia="AdvGulliv-R" w:cs="Times New Roman"/>
          <w:color w:val="000000"/>
          <w:sz w:val="20"/>
          <w:szCs w:val="20"/>
        </w:rPr>
        <w:t xml:space="preserve">in Mechanical Engineering </w:t>
      </w:r>
    </w:p>
    <w:p>
      <w:pPr>
        <w:autoSpaceDE w:val="0"/>
        <w:autoSpaceDN w:val="0"/>
        <w:adjustRightInd w:val="0"/>
        <w:spacing w:after="0" w:line="240" w:lineRule="auto"/>
        <w:ind w:firstLine="1000" w:firstLineChars="500"/>
        <w:jc w:val="both"/>
        <w:rPr>
          <w:rFonts w:ascii="Times New Roman" w:hAnsi="Times New Roman" w:eastAsia="AdvGulliv-R" w:cs="Times New Roman"/>
          <w:color w:val="000000"/>
          <w:sz w:val="20"/>
          <w:szCs w:val="20"/>
          <w:lang w:val="en-US"/>
        </w:rPr>
      </w:pPr>
      <w:r>
        <w:rPr>
          <w:rFonts w:ascii="Times New Roman" w:hAnsi="Times New Roman" w:eastAsia="AdvGulliv-R" w:cs="Times New Roman"/>
          <w:color w:val="000000"/>
          <w:sz w:val="20"/>
          <w:szCs w:val="20"/>
        </w:rPr>
        <w:t>at the Ukrainian National Academy of Sciences</w:t>
      </w:r>
      <w:r>
        <w:rPr>
          <w:rFonts w:ascii="Times New Roman" w:hAnsi="Times New Roman" w:eastAsia="AdvGulliv-R" w:cs="Times New Roman"/>
          <w:color w:val="000000"/>
          <w:sz w:val="20"/>
          <w:szCs w:val="20"/>
          <w:lang w:val="en-US"/>
        </w:rPr>
        <w:t>, Kharkov, Ukrain</w:t>
      </w:r>
      <w:r>
        <w:rPr>
          <w:rFonts w:hint="default" w:ascii="Times New Roman" w:hAnsi="Times New Roman" w:eastAsia="AdvGulliv-R" w:cs="Times New Roman"/>
          <w:color w:val="000000"/>
          <w:sz w:val="20"/>
          <w:szCs w:val="20"/>
          <w:lang w:val="en-US" w:bidi="he-IL"/>
        </w:rPr>
        <w:t>e.</w:t>
      </w:r>
    </w:p>
    <w:p>
      <w:pPr>
        <w:pStyle w:val="4"/>
        <w:spacing w:line="214" w:lineRule="exact"/>
        <w:ind w:left="0" w:leftChars="0" w:firstLine="0" w:firstLineChars="0"/>
        <w:rPr>
          <w:lang w:val="en-US"/>
        </w:rPr>
      </w:pPr>
    </w:p>
    <w:p>
      <w:pPr>
        <w:sectPr>
          <w:type w:val="continuous"/>
          <w:pgSz w:w="11910" w:h="16840"/>
          <w:pgMar w:top="600" w:right="180" w:bottom="280" w:left="140" w:header="720" w:footer="720" w:gutter="0"/>
          <w:cols w:space="720" w:num="1"/>
        </w:sectPr>
      </w:pPr>
    </w:p>
    <w:p>
      <w:pPr>
        <w:pStyle w:val="4"/>
        <w:spacing w:before="114"/>
        <w:ind w:left="426" w:right="9" w:firstLine="0"/>
        <w:jc w:val="both"/>
        <w:rPr>
          <w:rFonts w:ascii="Times New Roman" w:hAnsi="Times New Roman" w:cs="Times New Roman"/>
          <w:color w:val="000000"/>
          <w:sz w:val="20"/>
          <w:szCs w:val="20"/>
        </w:rPr>
      </w:pPr>
      <w:r>
        <w:rPr>
          <w:color w:val="585858"/>
        </w:rPr>
        <w:t xml:space="preserve">Keywords: </w:t>
      </w:r>
      <w:r>
        <w:rPr>
          <w:rFonts w:ascii="Times New Roman" w:hAnsi="Times New Roman" w:cs="Times New Roman"/>
          <w:b w:val="0"/>
          <w:bCs w:val="0"/>
          <w:color w:val="000000"/>
          <w:sz w:val="20"/>
          <w:szCs w:val="20"/>
        </w:rPr>
        <w:t>Global warming, Heat, Carbonic dioxide, Water,</w:t>
      </w:r>
    </w:p>
    <w:p>
      <w:pPr>
        <w:rPr>
          <w:lang w:val="en-US"/>
        </w:rPr>
      </w:pPr>
      <w:r>
        <w:rPr>
          <w:rFonts w:ascii="Times New Roman" w:hAnsi="Times New Roman" w:cs="Times New Roman"/>
          <w:color w:val="000000"/>
          <w:sz w:val="20"/>
          <w:szCs w:val="20"/>
          <w:lang w:val="en-US"/>
        </w:rPr>
        <w:t xml:space="preserve">                            Ox</w:t>
      </w:r>
      <w:r>
        <w:rPr>
          <w:rFonts w:cs="Times New Roman"/>
          <w:color w:val="000000"/>
          <w:sz w:val="20"/>
          <w:szCs w:val="20"/>
          <w:lang w:val="en-US"/>
        </w:rPr>
        <w:t>y</w:t>
      </w:r>
      <w:r>
        <w:rPr>
          <w:rFonts w:ascii="Times New Roman" w:hAnsi="Times New Roman" w:cs="Times New Roman"/>
          <w:color w:val="000000"/>
          <w:sz w:val="20"/>
          <w:szCs w:val="20"/>
          <w:lang w:val="en-US"/>
        </w:rPr>
        <w:t>g</w:t>
      </w:r>
      <w:r>
        <w:rPr>
          <w:rFonts w:cs="Times New Roman"/>
          <w:color w:val="000000"/>
          <w:sz w:val="20"/>
          <w:szCs w:val="20"/>
          <w:lang w:val="en-US"/>
        </w:rPr>
        <w:t>e</w:t>
      </w:r>
      <w:r>
        <w:rPr>
          <w:rFonts w:ascii="Times New Roman" w:hAnsi="Times New Roman" w:cs="Times New Roman"/>
          <w:color w:val="000000"/>
          <w:sz w:val="20"/>
          <w:szCs w:val="20"/>
          <w:lang w:val="en-US"/>
        </w:rPr>
        <w:t>n. S</w:t>
      </w:r>
      <w:r>
        <w:rPr>
          <w:rFonts w:ascii="Times New Roman" w:hAnsi="Times New Roman" w:cs="Times New Roman"/>
          <w:sz w:val="20"/>
          <w:szCs w:val="20"/>
        </w:rPr>
        <w:t>tatistical analysis</w:t>
      </w:r>
    </w:p>
    <w:p>
      <w:pPr>
        <w:pStyle w:val="6"/>
        <w:spacing w:before="10"/>
        <w:rPr>
          <w:b/>
        </w:rPr>
      </w:pPr>
    </w:p>
    <w:p>
      <w:pPr>
        <w:pStyle w:val="11"/>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pPr>
        <w:autoSpaceDE w:val="0"/>
        <w:autoSpaceDN w:val="0"/>
        <w:adjustRightInd w:val="0"/>
        <w:spacing w:after="0"/>
        <w:jc w:val="both"/>
        <w:rPr>
          <w:rFonts w:hint="default" w:ascii="Times New Roman" w:hAnsi="Times New Roman" w:cs="Times New Roman"/>
          <w:sz w:val="20"/>
          <w:szCs w:val="20"/>
        </w:rPr>
      </w:pPr>
      <w:r>
        <w:rPr>
          <w:rFonts w:ascii="Times New Roman" w:hAnsi="Times New Roman" w:cs="Times New Roman"/>
          <w:b w:val="0"/>
          <w:bCs w:val="0"/>
          <w:color w:val="000000"/>
          <w:sz w:val="20"/>
          <w:szCs w:val="20"/>
          <w:lang w:val="en-US"/>
        </w:rPr>
        <w:t xml:space="preserve">The Sun is the main and only </w:t>
      </w:r>
      <w:r>
        <w:rPr>
          <w:rFonts w:hint="default" w:ascii="Times New Roman" w:hAnsi="Times New Roman" w:cs="Times New Roman"/>
          <w:b w:val="0"/>
          <w:bCs w:val="0"/>
          <w:color w:val="000000"/>
          <w:sz w:val="20"/>
          <w:szCs w:val="20"/>
          <w:lang w:val="en-US" w:bidi="he-IL"/>
        </w:rPr>
        <w:t xml:space="preserve">power </w:t>
      </w:r>
      <w:r>
        <w:rPr>
          <w:rFonts w:ascii="Times New Roman" w:hAnsi="Times New Roman" w:cs="Times New Roman"/>
          <w:b w:val="0"/>
          <w:bCs w:val="0"/>
          <w:color w:val="000000"/>
          <w:sz w:val="20"/>
          <w:szCs w:val="20"/>
          <w:lang w:val="en-US"/>
        </w:rPr>
        <w:t xml:space="preserve">source arriving to the planets of the Solar System, but  only on the planet Earth has arisen </w:t>
      </w:r>
      <w:r>
        <w:rPr>
          <w:rFonts w:hint="default" w:ascii="Times New Roman" w:hAnsi="Times New Roman" w:cs="Times New Roman"/>
          <w:b w:val="0"/>
          <w:bCs w:val="0"/>
          <w:color w:val="000000"/>
          <w:sz w:val="20"/>
          <w:szCs w:val="20"/>
          <w:lang w:val="en-US" w:bidi="he-IL"/>
        </w:rPr>
        <w:t xml:space="preserve">the unique system of saving and </w:t>
      </w:r>
      <w:r>
        <w:rPr>
          <w:rFonts w:hint="default" w:ascii="Times New Roman" w:hAnsi="Times New Roman" w:cs="Times New Roman"/>
          <w:b w:val="0"/>
          <w:bCs w:val="0"/>
          <w:color w:val="000000"/>
          <w:sz w:val="20"/>
          <w:szCs w:val="20"/>
          <w:lang w:val="ru-RU" w:bidi="he-IL"/>
        </w:rPr>
        <w:t xml:space="preserve"> </w:t>
      </w:r>
      <w:r>
        <w:rPr>
          <w:rFonts w:hint="default" w:ascii="Times New Roman" w:hAnsi="Times New Roman" w:cs="Times New Roman"/>
          <w:b w:val="0"/>
          <w:bCs w:val="0"/>
          <w:color w:val="000000"/>
          <w:sz w:val="20"/>
          <w:szCs w:val="20"/>
          <w:lang w:val="en-US" w:bidi="he-IL"/>
        </w:rPr>
        <w:t>accumulation of energy, called the life.</w:t>
      </w:r>
      <w:r>
        <w:rPr>
          <w:rFonts w:ascii="Times New Roman" w:hAnsi="Times New Roman" w:cs="Times New Roman"/>
          <w:sz w:val="20"/>
          <w:szCs w:val="20"/>
        </w:rPr>
        <w:t xml:space="preserve">    </w:t>
      </w:r>
      <w:r>
        <w:rPr>
          <w:rFonts w:hint="default" w:ascii="Times New Roman" w:hAnsi="Times New Roman" w:cs="Times New Roman"/>
          <w:b w:val="0"/>
          <w:bCs w:val="0"/>
          <w:sz w:val="20"/>
          <w:szCs w:val="20"/>
        </w:rPr>
        <w:t>The First Law of Thermodynamics</w:t>
      </w:r>
      <w:r>
        <w:rPr>
          <w:rFonts w:hint="default" w:ascii="Times New Roman" w:hAnsi="Times New Roman" w:cs="Times New Roman"/>
          <w:b w:val="0"/>
          <w:bCs w:val="0"/>
          <w:sz w:val="20"/>
          <w:szCs w:val="20"/>
          <w:lang w:val="ru-RU"/>
        </w:rPr>
        <w:t xml:space="preserve"> </w:t>
      </w:r>
      <w:r>
        <w:rPr>
          <w:rFonts w:hint="default" w:ascii="Times New Roman" w:hAnsi="Times New Roman" w:cs="Times New Roman"/>
          <w:b w:val="0"/>
          <w:bCs w:val="0"/>
          <w:sz w:val="20"/>
          <w:szCs w:val="20"/>
          <w:lang w:val="en-US"/>
        </w:rPr>
        <w:t>reads:</w:t>
      </w:r>
      <w:r>
        <w:rPr>
          <w:rFonts w:hint="default" w:ascii="Times New Roman" w:hAnsi="Times New Roman" w:cs="Times New Roman"/>
          <w:sz w:val="20"/>
          <w:szCs w:val="20"/>
        </w:rPr>
        <w:t xml:space="preserve"> Energy is neither arises, nor destructed, but only gets transformed from one form to another.</w:t>
      </w:r>
    </w:p>
    <w:p>
      <w:pPr>
        <w:spacing w:after="0"/>
        <w:jc w:val="both"/>
        <w:rPr>
          <w:rFonts w:hint="default" w:ascii="Times New Roman" w:hAnsi="Times New Roman" w:eastAsia="Roboto" w:cs="Times New Roman"/>
          <w:i w:val="0"/>
          <w:caps w:val="0"/>
          <w:spacing w:val="0"/>
          <w:sz w:val="20"/>
          <w:szCs w:val="20"/>
          <w:shd w:val="clear" w:fill="F5F5F5"/>
        </w:rPr>
      </w:pPr>
      <w:r>
        <w:rPr>
          <w:rFonts w:hint="default" w:ascii="Times New Roman" w:hAnsi="Times New Roman" w:eastAsia="Roboto" w:cs="Times New Roman"/>
          <w:i w:val="0"/>
          <w:caps w:val="0"/>
          <w:spacing w:val="0"/>
          <w:sz w:val="20"/>
          <w:szCs w:val="20"/>
          <w:shd w:val="clear" w:fill="F5F5F5"/>
        </w:rPr>
        <w:t>Production of heat energy by Humanity constantly adds to the energy system of the planet Earth the heat flow additional to the incoming from the Sun. However, any production other than the target product produces  waste. Burning of fossil fuels in addition to  producing of heat, is generating   carbon dioxide and water. But this is deplating the atmosphere in oxigen. Nuclear fuel, apart from heat, produces nuclear waste.</w:t>
      </w:r>
    </w:p>
    <w:p>
      <w:pPr>
        <w:spacing w:after="0"/>
        <w:jc w:val="both"/>
        <w:rPr>
          <w:rFonts w:hint="default" w:ascii="Times New Roman" w:hAnsi="Times New Roman" w:eastAsia="Roboto" w:cs="Times New Roman"/>
          <w:i w:val="0"/>
          <w:caps w:val="0"/>
          <w:spacing w:val="0"/>
          <w:sz w:val="20"/>
          <w:szCs w:val="20"/>
          <w:shd w:val="clear" w:fill="F5F5F5"/>
        </w:rPr>
      </w:pPr>
      <w:r>
        <w:rPr>
          <w:rFonts w:hint="default" w:ascii="Times New Roman" w:hAnsi="Times New Roman" w:eastAsia="Roboto" w:cs="Times New Roman"/>
          <w:i w:val="0"/>
          <w:caps w:val="0"/>
          <w:spacing w:val="0"/>
          <w:sz w:val="20"/>
          <w:szCs w:val="20"/>
          <w:shd w:val="clear" w:fill="F5F5F5"/>
        </w:rPr>
        <w:t>Thermochemistry makes it possible to estimate, by published data on production and consumption of fuel, the value of all incoming and outcoming streams in the production of thermal energy. For example, in 2009 the following was produced: heat 493×10</w:t>
      </w:r>
      <w:r>
        <w:rPr>
          <w:rFonts w:hint="default" w:ascii="Times New Roman" w:hAnsi="Times New Roman" w:eastAsia="Roboto" w:cs="Times New Roman"/>
          <w:i w:val="0"/>
          <w:caps w:val="0"/>
          <w:spacing w:val="0"/>
          <w:sz w:val="20"/>
          <w:szCs w:val="20"/>
          <w:shd w:val="clear" w:fill="F5F5F5"/>
          <w:vertAlign w:val="superscript"/>
        </w:rPr>
        <w:t>6</w:t>
      </w:r>
      <w:r>
        <w:rPr>
          <w:rFonts w:hint="default" w:ascii="Times New Roman" w:hAnsi="Times New Roman" w:eastAsia="Roboto" w:cs="Times New Roman"/>
          <w:i w:val="0"/>
          <w:caps w:val="0"/>
          <w:spacing w:val="0"/>
          <w:sz w:val="20"/>
          <w:szCs w:val="20"/>
          <w:shd w:val="clear" w:fill="F5F5F5"/>
        </w:rPr>
        <w:t xml:space="preserve"> TJ; carbon dioxide 39 Gt; water 14 Gt. At the same time, 41 Gt of oxygen was extracted from the atmosphere to burn fuel.</w:t>
      </w:r>
    </w:p>
    <w:p>
      <w:pPr>
        <w:spacing w:line="240" w:lineRule="auto"/>
        <w:rPr>
          <w:rFonts w:hint="default" w:ascii="Times New Roman" w:hAnsi="Times New Roman" w:eastAsia="Roboto" w:cs="Times New Roman"/>
          <w:i w:val="0"/>
          <w:caps w:val="0"/>
          <w:spacing w:val="0"/>
          <w:sz w:val="20"/>
          <w:szCs w:val="20"/>
          <w:shd w:val="clear" w:fill="F5F5F5"/>
        </w:rPr>
      </w:pPr>
      <w:r>
        <w:rPr>
          <w:rFonts w:hint="default" w:ascii="Times New Roman" w:hAnsi="Times New Roman" w:eastAsia="Roboto" w:cs="Times New Roman"/>
          <w:i w:val="0"/>
          <w:caps w:val="0"/>
          <w:spacing w:val="0"/>
          <w:sz w:val="20"/>
          <w:szCs w:val="20"/>
          <w:shd w:val="clear" w:fill="F5F5F5"/>
        </w:rPr>
        <w:t>Consequences of heat production: heat is causes of Global Warming; the steam of water condenses and falls to the Earth in the form of downpours and heavy snowfalls, and depletion of the atmosphere with oxygen reduces the protection of the Earth's surface from ultraviolet radiation.</w:t>
      </w:r>
    </w:p>
    <w:p>
      <w:pPr>
        <w:spacing w:line="240" w:lineRule="auto"/>
      </w:pPr>
      <w:r>
        <w:rPr>
          <w:rFonts w:hint="default" w:ascii="Times New Roman" w:hAnsi="Times New Roman" w:eastAsia="Roboto" w:cs="Times New Roman"/>
          <w:i w:val="0"/>
          <w:caps w:val="0"/>
          <w:spacing w:val="0"/>
          <w:sz w:val="20"/>
          <w:szCs w:val="20"/>
          <w:shd w:val="clear" w:fill="F5F5F5"/>
        </w:rPr>
        <w:t>In order to reduce the amount of heat entering the energy system of the Planet Earth, it is necessary to reduce heat flows from heat production and from the Sun.</w:t>
      </w:r>
    </w:p>
    <w:p>
      <w:pPr>
        <w:pStyle w:val="4"/>
        <w:numPr>
          <w:ilvl w:val="0"/>
          <w:numId w:val="1"/>
        </w:numPr>
        <w:tabs>
          <w:tab w:val="left" w:pos="1914"/>
          <w:tab w:val="left" w:pos="1915"/>
        </w:tabs>
        <w:ind w:left="1914" w:hanging="494"/>
        <w:jc w:val="left"/>
      </w:pPr>
      <w:r>
        <w:rPr>
          <w:color w:val="585858"/>
        </w:rPr>
        <w:t>Image:</w:t>
      </w:r>
    </w:p>
    <w:p>
      <w:pPr>
        <w:pStyle w:val="6"/>
        <w:ind w:left="1238"/>
        <w:rPr>
          <w:sz w:val="20"/>
        </w:rPr>
      </w:pPr>
      <w:r>
        <w:rPr>
          <w:rFonts w:ascii="Times New Roman" w:hAnsi="Times New Roman" w:cs="Times New Roman"/>
          <w:sz w:val="24"/>
          <w:szCs w:val="24"/>
        </w:rPr>
        <w:drawing>
          <wp:inline distT="0" distB="0" distL="114300" distR="114300">
            <wp:extent cx="3795395" cy="2080895"/>
            <wp:effectExtent l="4445" t="4445" r="10160" b="17780"/>
            <wp:docPr id="9" name="Изображение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pStyle w:val="11"/>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pPr>
        <w:pStyle w:val="6"/>
        <w:spacing w:before="9"/>
        <w:rPr>
          <w:b/>
          <w:sz w:val="18"/>
        </w:rPr>
      </w:pPr>
    </w:p>
    <w:p>
      <w:pPr>
        <w:pStyle w:val="6"/>
        <w:tabs>
          <w:tab w:val="left" w:pos="1037"/>
        </w:tabs>
        <w:ind w:left="1037" w:right="696" w:hanging="360"/>
        <w:rPr>
          <w:bCs/>
          <w:szCs w:val="24"/>
          <w:lang w:val="en-US"/>
        </w:rPr>
      </w:pPr>
      <w:r>
        <w:rPr>
          <w:color w:val="585858"/>
        </w:rPr>
        <w:t>1</w:t>
      </w:r>
      <w:r>
        <w:rPr>
          <w:color w:val="585858"/>
        </w:rPr>
        <w:tab/>
      </w:r>
      <w:r>
        <w:rPr>
          <w:color w:val="585858"/>
          <w:lang w:val="en-US"/>
        </w:rPr>
        <w:t>Prisyazhniuk, V.A.</w:t>
      </w:r>
      <w:r>
        <w:rPr>
          <w:color w:val="585858"/>
        </w:rPr>
        <w:t>, 20</w:t>
      </w:r>
      <w:r>
        <w:rPr>
          <w:color w:val="585858"/>
          <w:lang w:val="en-US"/>
        </w:rPr>
        <w:t>12</w:t>
      </w:r>
      <w:r>
        <w:rPr>
          <w:color w:val="585858"/>
        </w:rPr>
        <w:t xml:space="preserve">. </w:t>
      </w:r>
      <w:r>
        <w:rPr>
          <w:bCs/>
          <w:szCs w:val="24"/>
          <w:lang w:val="en-US"/>
        </w:rPr>
        <w:t xml:space="preserve">World Energy and Environment. </w:t>
      </w:r>
      <w:r>
        <w:rPr>
          <w:bCs/>
          <w:i/>
          <w:iCs/>
          <w:szCs w:val="24"/>
          <w:lang w:val="en-US"/>
        </w:rPr>
        <w:t>Environment Science: An Indian Journal.,</w:t>
      </w:r>
      <w:r>
        <w:rPr>
          <w:bCs/>
          <w:szCs w:val="24"/>
          <w:lang w:val="en-US"/>
        </w:rPr>
        <w:t>v. 7 issue 11; 397-405.</w:t>
      </w:r>
    </w:p>
    <w:p>
      <w:pPr>
        <w:pStyle w:val="6"/>
        <w:numPr>
          <w:ilvl w:val="0"/>
          <w:numId w:val="2"/>
        </w:numPr>
        <w:tabs>
          <w:tab w:val="left" w:pos="1037"/>
        </w:tabs>
        <w:ind w:left="1037" w:right="696" w:hanging="360"/>
        <w:rPr>
          <w:lang w:val="en-US"/>
        </w:rPr>
      </w:pPr>
      <w:r>
        <w:rPr>
          <w:bCs/>
          <w:szCs w:val="24"/>
          <w:lang w:val="en-US"/>
        </w:rPr>
        <w:t xml:space="preserve">   </w:t>
      </w:r>
      <w:r>
        <w:rPr>
          <w:color w:val="585858"/>
          <w:lang w:val="en-US"/>
        </w:rPr>
        <w:t>Prisyazhniuk, V.A.</w:t>
      </w:r>
      <w:r>
        <w:rPr>
          <w:color w:val="585858"/>
        </w:rPr>
        <w:t>, 20</w:t>
      </w:r>
      <w:r>
        <w:rPr>
          <w:color w:val="585858"/>
          <w:lang w:val="en-US"/>
        </w:rPr>
        <w:t>09</w:t>
      </w:r>
      <w:r>
        <w:rPr>
          <w:color w:val="585858"/>
        </w:rPr>
        <w:t xml:space="preserve">. </w:t>
      </w:r>
      <w:r>
        <w:rPr>
          <w:lang w:val="en-US"/>
        </w:rPr>
        <w:t xml:space="preserve">What is not Mentioned in the Kyoto Protocol. </w:t>
      </w:r>
      <w:r>
        <w:rPr>
          <w:i/>
          <w:iCs/>
          <w:lang w:val="en-US"/>
        </w:rPr>
        <w:t>Kyoto Protocol: Economic Assessments, Implementation Mechanisms and Policy Implications (</w:t>
      </w:r>
      <w:r>
        <w:rPr>
          <w:lang w:val="en-US"/>
        </w:rPr>
        <w:t xml:space="preserve">Ed.: Christophe P.Vasser), Nova Science Publishers, Inc., New York; 243 – 263. </w:t>
      </w:r>
    </w:p>
    <w:p>
      <w:pPr>
        <w:pStyle w:val="6"/>
        <w:spacing w:before="2"/>
      </w:pPr>
    </w:p>
    <w:p>
      <w:pPr>
        <w:pStyle w:val="4"/>
        <w:numPr>
          <w:ilvl w:val="0"/>
          <w:numId w:val="1"/>
        </w:numPr>
        <w:tabs>
          <w:tab w:val="left" w:pos="1758"/>
        </w:tabs>
        <w:ind w:left="1757"/>
        <w:jc w:val="left"/>
      </w:pPr>
      <w:r>
        <w:rPr>
          <w:color w:val="585858"/>
        </w:rPr>
        <w:t>Biography:</w:t>
      </w:r>
    </w:p>
    <w:p>
      <w:pPr>
        <w:jc w:val="both"/>
        <w:rPr>
          <w:b w:val="0"/>
          <w:bCs w:val="0"/>
          <w:sz w:val="20"/>
          <w:szCs w:val="20"/>
        </w:rPr>
      </w:pPr>
      <w:r>
        <w:rPr>
          <w:b w:val="0"/>
          <w:bCs w:val="0"/>
          <w:color w:val="585858"/>
          <w:sz w:val="20"/>
          <w:szCs w:val="20"/>
          <w:lang w:val="en-US"/>
        </w:rPr>
        <w:t>Vitaly A. Prisyazhniuk</w:t>
      </w:r>
      <w:r>
        <w:rPr>
          <w:b w:val="0"/>
          <w:bCs w:val="0"/>
          <w:color w:val="585858"/>
          <w:sz w:val="20"/>
          <w:szCs w:val="20"/>
        </w:rPr>
        <w:t xml:space="preserve"> has completed his PhD at the age of </w:t>
      </w:r>
      <w:r>
        <w:rPr>
          <w:b w:val="0"/>
          <w:bCs w:val="0"/>
          <w:color w:val="585858"/>
          <w:sz w:val="20"/>
          <w:szCs w:val="20"/>
          <w:lang w:val="en-US"/>
        </w:rPr>
        <w:t xml:space="preserve">44 </w:t>
      </w:r>
      <w:r>
        <w:rPr>
          <w:b w:val="0"/>
          <w:bCs w:val="0"/>
          <w:color w:val="585858"/>
          <w:sz w:val="20"/>
          <w:szCs w:val="20"/>
        </w:rPr>
        <w:t xml:space="preserve">years from </w:t>
      </w:r>
      <w:r>
        <w:rPr>
          <w:b w:val="0"/>
          <w:bCs w:val="0"/>
          <w:sz w:val="20"/>
          <w:szCs w:val="20"/>
          <w:lang w:val="en-US"/>
        </w:rPr>
        <w:t xml:space="preserve">Kharkov State </w:t>
      </w:r>
      <w:r>
        <w:rPr>
          <w:b w:val="0"/>
          <w:bCs w:val="0"/>
          <w:color w:val="585858"/>
          <w:sz w:val="20"/>
          <w:szCs w:val="20"/>
        </w:rPr>
        <w:t xml:space="preserve"> University and Postdoctoral Studies </w:t>
      </w:r>
      <w:r>
        <w:rPr>
          <w:b w:val="0"/>
          <w:bCs w:val="0"/>
          <w:sz w:val="20"/>
          <w:szCs w:val="20"/>
          <w:lang w:val="en-US"/>
        </w:rPr>
        <w:t>at the Radiochemistry Department of Moscow                       State  University</w:t>
      </w:r>
      <w:r>
        <w:rPr>
          <w:b w:val="0"/>
          <w:bCs w:val="0"/>
          <w:color w:val="585858"/>
          <w:sz w:val="20"/>
          <w:szCs w:val="20"/>
        </w:rPr>
        <w:t xml:space="preserve">, </w:t>
      </w:r>
      <w:r>
        <w:rPr>
          <w:b w:val="0"/>
          <w:bCs w:val="0"/>
          <w:color w:val="585858"/>
          <w:sz w:val="20"/>
          <w:szCs w:val="20"/>
          <w:lang w:val="en-US"/>
        </w:rPr>
        <w:t>USSR</w:t>
      </w:r>
      <w:r>
        <w:rPr>
          <w:b w:val="0"/>
          <w:bCs w:val="0"/>
          <w:color w:val="585858"/>
          <w:sz w:val="20"/>
          <w:szCs w:val="20"/>
        </w:rPr>
        <w:t xml:space="preserve">. He </w:t>
      </w:r>
      <w:r>
        <w:rPr>
          <w:b w:val="0"/>
          <w:bCs w:val="0"/>
          <w:color w:val="585858"/>
          <w:sz w:val="20"/>
          <w:szCs w:val="20"/>
          <w:lang w:val="en-US"/>
        </w:rPr>
        <w:t xml:space="preserve">was </w:t>
      </w:r>
      <w:r>
        <w:rPr>
          <w:b w:val="0"/>
          <w:bCs w:val="0"/>
          <w:sz w:val="20"/>
          <w:szCs w:val="20"/>
          <w:lang w:val="en-US"/>
        </w:rPr>
        <w:t>Head of the laboratory «Thermodynamics of phase transitions» and Head of the Basic laboratory «Intensification of technological processes in chemical industry» of the USSR Ministry of Chemical Industry.</w:t>
      </w:r>
      <w:r>
        <w:rPr>
          <w:b w:val="0"/>
          <w:bCs w:val="0"/>
          <w:color w:val="585858"/>
          <w:sz w:val="20"/>
          <w:szCs w:val="20"/>
        </w:rPr>
        <w:t xml:space="preserve"> He has published </w:t>
      </w:r>
      <w:r>
        <w:rPr>
          <w:rFonts w:hint="default"/>
          <w:b w:val="0"/>
          <w:bCs w:val="0"/>
          <w:color w:val="585858"/>
          <w:sz w:val="20"/>
          <w:szCs w:val="20"/>
        </w:rPr>
        <w:t>26 articles only for the last 10 years</w:t>
      </w:r>
      <w:r>
        <w:rPr>
          <w:b w:val="0"/>
          <w:bCs w:val="0"/>
          <w:color w:val="585858"/>
          <w:sz w:val="20"/>
          <w:szCs w:val="20"/>
        </w:rPr>
        <w:t xml:space="preserve"> in reputed journals</w:t>
      </w:r>
      <w:r>
        <w:rPr>
          <w:b w:val="0"/>
          <w:bCs w:val="0"/>
          <w:color w:val="585858"/>
          <w:sz w:val="20"/>
          <w:szCs w:val="20"/>
          <w:lang w:val="ru-RU"/>
        </w:rPr>
        <w:t>.</w:t>
      </w:r>
    </w:p>
    <w:p>
      <w:pPr>
        <w:rPr>
          <w:sz w:val="20"/>
          <w:szCs w:val="20"/>
        </w:rPr>
      </w:pPr>
    </w:p>
    <w:p>
      <w:pPr>
        <w:pStyle w:val="6"/>
        <w:spacing w:before="1"/>
      </w:pPr>
    </w:p>
    <w:p>
      <w:pPr>
        <w:pStyle w:val="4"/>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pPr>
        <w:pStyle w:val="6"/>
        <w:spacing w:before="7"/>
        <w:rPr>
          <w:b/>
          <w:sz w:val="15"/>
        </w:rPr>
      </w:pPr>
    </w:p>
    <w:p>
      <w:pPr>
        <w:pStyle w:val="6"/>
        <w:spacing w:before="172"/>
        <w:ind w:left="410" w:leftChars="143" w:right="4143" w:hanging="95" w:hangingChars="50"/>
      </w:pPr>
      <w:r>
        <w:drawing>
          <wp:inline distT="0" distB="0" distL="114300" distR="114300">
            <wp:extent cx="649605" cy="786765"/>
            <wp:effectExtent l="0" t="0" r="5715" b="5715"/>
            <wp:docPr id="3" name="Изображение 3" descr="Vitaly Prisazhni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Vitaly Prisazhniuk"/>
                    <pic:cNvPicPr>
                      <a:picLocks noChangeAspect="1"/>
                    </pic:cNvPicPr>
                  </pic:nvPicPr>
                  <pic:blipFill>
                    <a:blip r:embed="rId6"/>
                    <a:stretch>
                      <a:fillRect/>
                    </a:stretch>
                  </pic:blipFill>
                  <pic:spPr>
                    <a:xfrm>
                      <a:off x="0" y="0"/>
                      <a:ext cx="649605" cy="786765"/>
                    </a:xfrm>
                    <a:prstGeom prst="rect">
                      <a:avLst/>
                    </a:prstGeom>
                  </pic:spPr>
                </pic:pic>
              </a:graphicData>
            </a:graphic>
          </wp:inline>
        </w:drawing>
      </w:r>
    </w:p>
    <w:p>
      <w:pPr>
        <w:pStyle w:val="6"/>
        <w:spacing w:before="172"/>
        <w:ind w:left="410" w:leftChars="143" w:right="4143" w:hanging="95" w:hangingChars="50"/>
        <w:rPr>
          <w:color w:val="585858"/>
          <w:lang w:val="en-US"/>
        </w:rPr>
      </w:pPr>
      <w:r>
        <w:rPr>
          <w:color w:val="585858"/>
        </w:rPr>
        <w:t>Full Name:</w:t>
      </w:r>
      <w:r>
        <w:rPr>
          <w:color w:val="585858"/>
          <w:lang w:val="en-US"/>
        </w:rPr>
        <w:t xml:space="preserve"> Vitaly </w:t>
      </w:r>
      <w:bookmarkStart w:id="0" w:name="_GoBack"/>
      <w:bookmarkEnd w:id="0"/>
      <w:r>
        <w:rPr>
          <w:color w:val="585858"/>
          <w:lang w:val="en-US"/>
        </w:rPr>
        <w:t>A.  Prisyazhniuk</w:t>
      </w:r>
      <w:r>
        <w:rPr>
          <w:color w:val="585858"/>
        </w:rPr>
        <w:t xml:space="preserve"> Contact number: </w:t>
      </w:r>
      <w:r>
        <w:rPr>
          <w:color w:val="585858"/>
          <w:lang w:val="en-US"/>
        </w:rPr>
        <w:t>9720529524552</w:t>
      </w:r>
    </w:p>
    <w:p>
      <w:pPr>
        <w:pStyle w:val="6"/>
        <w:spacing w:before="172"/>
        <w:ind w:left="410" w:leftChars="143" w:right="4143" w:hanging="95" w:hangingChars="50"/>
        <w:rPr>
          <w:color w:val="585858"/>
          <w:lang w:val="en-US"/>
        </w:rPr>
      </w:pPr>
      <w:r>
        <w:rPr>
          <w:color w:val="585858"/>
          <w:lang w:val="en-US"/>
        </w:rPr>
        <w:t>E-mail: vitalpris@yahoo.com</w:t>
      </w:r>
    </w:p>
    <w:p>
      <w:pPr>
        <w:pStyle w:val="6"/>
        <w:ind w:left="316"/>
      </w:pPr>
      <w:r>
        <w:rPr>
          <w:color w:val="585858"/>
        </w:rPr>
        <w:t>Session name/ number:</w:t>
      </w:r>
    </w:p>
    <w:p>
      <w:pPr>
        <w:pStyle w:val="6"/>
        <w:ind w:left="316" w:right="1786"/>
        <w:rPr>
          <w:sz w:val="18"/>
        </w:rPr>
      </w:pPr>
      <w:r>
        <w:rPr>
          <w:color w:val="585858"/>
        </w:rPr>
        <w:t>Category: (Oral presentation/ Poster presentation) Passport Number</w:t>
      </w:r>
      <w:r>
        <w:rPr>
          <w:color w:val="585858"/>
          <w:sz w:val="18"/>
        </w:rPr>
        <w:t>:</w:t>
      </w:r>
    </w:p>
    <w:p>
      <w:pPr>
        <w:rPr>
          <w:sz w:val="18"/>
        </w:rPr>
        <w:sectPr>
          <w:type w:val="continuous"/>
          <w:pgSz w:w="11910" w:h="16840"/>
          <w:pgMar w:top="600" w:right="180" w:bottom="280" w:left="140" w:header="720" w:footer="720" w:gutter="0"/>
          <w:cols w:equalWidth="0" w:num="2">
            <w:col w:w="5639" w:space="40"/>
            <w:col w:w="5911"/>
          </w:cols>
        </w:sectPr>
      </w:pPr>
    </w:p>
    <w:p>
      <w:pPr>
        <w:spacing w:after="0"/>
        <w:jc w:val="both"/>
        <w:rPr>
          <w:rFonts w:ascii="Times New Roman" w:hAnsi="Times New Roman" w:cs="Times New Roman"/>
          <w:sz w:val="20"/>
          <w:szCs w:val="20"/>
        </w:rPr>
      </w:pPr>
      <w:r>
        <w:rPr>
          <w:sz w:val="20"/>
          <w:lang w:val="en-US"/>
        </w:rPr>
        <w:t xml:space="preserve">    </w:t>
      </w:r>
      <w:r>
        <w:rPr>
          <w:rFonts w:ascii="Times New Roman" w:hAnsi="Times New Roman" w:cs="Times New Roman"/>
          <w:sz w:val="20"/>
          <w:szCs w:val="20"/>
        </w:rPr>
        <w:t>Production of heat by separate fuels for the period of 1973 to 2009</w:t>
      </w:r>
    </w:p>
    <w:p>
      <w:pPr>
        <w:pStyle w:val="6"/>
        <w:rPr>
          <w:sz w:val="20"/>
          <w:szCs w:val="20"/>
          <w:lang w:val="en-US"/>
        </w:rPr>
      </w:pPr>
    </w:p>
    <w:p>
      <w:pPr>
        <w:pStyle w:val="6"/>
        <w:rPr>
          <w:sz w:val="20"/>
        </w:rPr>
      </w:pPr>
    </w:p>
    <w:p>
      <w:pPr>
        <w:pStyle w:val="6"/>
        <w:spacing w:before="1"/>
        <w:rPr>
          <w:sz w:val="27"/>
        </w:rPr>
      </w:pPr>
    </w:p>
    <w:p>
      <w:pPr>
        <w:pStyle w:val="6"/>
        <w:spacing w:line="55" w:lineRule="exact"/>
        <w:ind w:left="107"/>
        <w:rPr>
          <w:sz w:val="5"/>
        </w:rPr>
      </w:pPr>
      <w:r>
        <w:rPr>
          <w:sz w:val="5"/>
        </w:rPr>
        <mc:AlternateContent>
          <mc:Choice Requires="wpg">
            <w:drawing>
              <wp:anchor distT="0" distB="0" distL="114300" distR="114300" simplePos="0" relativeHeight="251660288" behindDoc="1" locked="0" layoutInCell="1" allowOverlap="1">
                <wp:simplePos x="0" y="0"/>
                <wp:positionH relativeFrom="column">
                  <wp:posOffset>69850</wp:posOffset>
                </wp:positionH>
                <wp:positionV relativeFrom="paragraph">
                  <wp:posOffset>91440</wp:posOffset>
                </wp:positionV>
                <wp:extent cx="7226300" cy="34925"/>
                <wp:effectExtent l="0" t="0" r="0" b="0"/>
                <wp:wrapTight wrapText="bothSides">
                  <wp:wrapPolygon>
                    <wp:start x="0" y="0"/>
                    <wp:lineTo x="0" y="0"/>
                    <wp:lineTo x="21524" y="0"/>
                    <wp:lineTo x="21524" y="0"/>
                    <wp:lineTo x="0" y="0"/>
                  </wp:wrapPolygon>
                </wp:wrapTight>
                <wp:docPr id="4" name="Group 2"/>
                <wp:cNvGraphicFramePr/>
                <a:graphic xmlns:a="http://schemas.openxmlformats.org/drawingml/2006/main">
                  <a:graphicData uri="http://schemas.microsoft.com/office/word/2010/wordprocessingGroup">
                    <wpg:wgp>
                      <wpg:cNvGrpSpPr/>
                      <wpg:grpSpPr>
                        <a:xfrm>
                          <a:off x="0" y="0"/>
                          <a:ext cx="7226300" cy="34925"/>
                          <a:chOff x="0" y="0"/>
                          <a:chExt cx="11380" cy="55"/>
                        </a:xfrm>
                      </wpg:grpSpPr>
                      <wps:wsp>
                        <wps:cNvPr id="6" name="Line 3"/>
                        <wps:cNvCnPr/>
                        <wps:spPr bwMode="auto">
                          <a:xfrm>
                            <a:off x="20" y="35"/>
                            <a:ext cx="11340" cy="0"/>
                          </a:xfrm>
                          <a:prstGeom prst="line">
                            <a:avLst/>
                          </a:prstGeom>
                          <a:noFill/>
                          <a:ln w="25400">
                            <a:solidFill>
                              <a:schemeClr val="tx2">
                                <a:lumMod val="60000"/>
                                <a:lumOff val="40000"/>
                              </a:schemeClr>
                            </a:solidFill>
                            <a:prstDash val="solid"/>
                            <a:round/>
                          </a:ln>
                        </wps:spPr>
                        <wps:bodyPr/>
                      </wps:wsp>
                    </wpg:wgp>
                  </a:graphicData>
                </a:graphic>
              </wp:anchor>
            </w:drawing>
          </mc:Choice>
          <mc:Fallback>
            <w:pict>
              <v:group id="Group 2" o:spid="_x0000_s1026" o:spt="203" style="position:absolute;left:0pt;margin-left:5.5pt;margin-top:7.2pt;height:2.75pt;width:569pt;mso-wrap-distance-left:9pt;mso-wrap-distance-right:9pt;z-index:-251656192;mso-width-relative:page;mso-height-relative:page;" coordsize="11380,55" wrapcoords="0 0 0 0 21524 0 21524 0 0 0" o:gfxdata="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3DfquNYAAAAJ&#10;AQAADwAAAAAAAAABACAAAAAiAAAAZHJzL2Rvd25yZXYueG1sUEsBAhQAFAAAAAgAh07iQHXIKL4e&#10;AgAAmQQAAA4AAAAAAAAAAQAgAAAAJQEAAGRycy9lMm9Eb2MueG1sUEsFBgAAAAAGAAYAWQEAALUF&#10;AAAAAA==&#10;">
                <o:lock v:ext="edit" aspectratio="f"/>
                <v:line id="Line 3" o:spid="_x0000_s1026" o:spt="20" style="position:absolute;left:20;top:35;height:0;width:11340;" filled="f" stroked="t" coordsize="21600,21600" o:gfxdata="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aJ7ue8AAAA&#10;2gAAAA8AAAAAAAAAAQAgAAAAIgAAAGRycy9kb3ducmV2LnhtbFBLAQIUABQAAAAIAIdO4kAzLwWe&#10;OwAAADkAAAAQAAAAAAAAAAEAIAAAAAsBAABkcnMvc2hhcGV4bWwueG1sUEsFBgAAAAAGAAYAWwEA&#10;ALUDAAAAAA==&#10;">
                  <v:fill on="f" focussize="0,0"/>
                  <v:stroke weight="2pt" color="#558ED5 [1951]" joinstyle="round"/>
                  <v:imagedata o:title=""/>
                  <o:lock v:ext="edit" aspectratio="f"/>
                </v:line>
                <w10:wrap type="tight"/>
              </v:group>
            </w:pict>
          </mc:Fallback>
        </mc:AlternateContent>
      </w:r>
    </w:p>
    <w:p>
      <w:pPr>
        <w:spacing w:before="49"/>
        <w:ind w:left="1105" w:right="1371"/>
        <w:jc w:val="center"/>
        <w:rPr>
          <w:color w:val="585858"/>
          <w:sz w:val="18"/>
          <w:szCs w:val="18"/>
        </w:rPr>
      </w:pPr>
    </w:p>
    <w:p>
      <w:pPr>
        <w:spacing w:before="49"/>
        <w:ind w:left="1105" w:right="1371"/>
        <w:jc w:val="center"/>
        <w:rPr>
          <w:color w:val="585858"/>
          <w:sz w:val="18"/>
          <w:szCs w:val="18"/>
        </w:rPr>
      </w:pPr>
    </w:p>
    <w:p>
      <w:pPr>
        <w:spacing w:before="49"/>
        <w:ind w:left="1105" w:right="1371"/>
        <w:jc w:val="center"/>
        <w:rPr>
          <w:sz w:val="18"/>
          <w:szCs w:val="18"/>
        </w:rPr>
      </w:pPr>
      <w:r>
        <w:rPr>
          <w:color w:val="585858"/>
          <w:sz w:val="18"/>
          <w:szCs w:val="18"/>
        </w:rPr>
        <w:t>Copyright © 2016-2018 Meetings Int PTE Ltd, All Rights Reserved.</w:t>
      </w:r>
    </w:p>
    <w:p>
      <w:pPr>
        <w:spacing w:before="37"/>
        <w:ind w:left="1105" w:right="1371"/>
        <w:jc w:val="center"/>
        <w:rPr>
          <w:b/>
          <w:sz w:val="18"/>
          <w:szCs w:val="18"/>
        </w:rPr>
      </w:pPr>
      <w:r>
        <w:rPr>
          <w:b/>
          <w:color w:val="585858"/>
          <w:sz w:val="18"/>
          <w:szCs w:val="18"/>
        </w:rPr>
        <w:t>Meetings Int. Pte Ltd</w:t>
      </w:r>
    </w:p>
    <w:p>
      <w:pPr>
        <w:pStyle w:val="3"/>
        <w:spacing w:before="36"/>
        <w:ind w:right="1372"/>
        <w:rPr>
          <w:sz w:val="18"/>
          <w:szCs w:val="18"/>
        </w:rPr>
      </w:pPr>
      <w:r>
        <w:rPr>
          <w:color w:val="585858"/>
          <w:sz w:val="18"/>
          <w:szCs w:val="18"/>
        </w:rPr>
        <w:t>Company Registration No: 201524282R, 28 MAXWELL ROAD, #03-05 RED DOT TRAFFIC, SINGAPORE (069120)</w:t>
      </w:r>
    </w:p>
    <w:p>
      <w:pPr>
        <w:spacing w:line="229" w:lineRule="exact"/>
        <w:ind w:left="1105" w:right="1370"/>
        <w:jc w:val="center"/>
        <w:rPr>
          <w:sz w:val="18"/>
          <w:szCs w:val="18"/>
        </w:rPr>
      </w:pPr>
      <w:r>
        <w:rPr>
          <w:color w:val="585858"/>
          <w:sz w:val="18"/>
          <w:szCs w:val="18"/>
        </w:rPr>
        <w:t>Tel: +6531080483 | Toll Free no. +800-852-6126</w:t>
      </w:r>
    </w:p>
    <w:p>
      <w:pPr>
        <w:jc w:val="center"/>
        <w:rPr>
          <w:color w:val="0070C0"/>
          <w:sz w:val="18"/>
          <w:szCs w:val="18"/>
        </w:rPr>
      </w:pPr>
      <w:r>
        <w:rPr>
          <w:color w:val="585858"/>
          <w:sz w:val="18"/>
          <w:szCs w:val="18"/>
        </w:rPr>
        <w:t xml:space="preserve">Web: </w:t>
      </w:r>
      <w:r>
        <w:fldChar w:fldCharType="begin"/>
      </w:r>
      <w:r>
        <w:instrText xml:space="preserve"> HYPERLINK "https://www.meetingsint.com/conferences/climatechange" </w:instrText>
      </w:r>
      <w:r>
        <w:fldChar w:fldCharType="separate"/>
      </w:r>
      <w:r>
        <w:rPr>
          <w:rStyle w:val="9"/>
          <w:sz w:val="18"/>
          <w:szCs w:val="18"/>
          <w:u w:val="none"/>
        </w:rPr>
        <w:t>https://www.meetingsint.com/conferences/climatechange</w:t>
      </w:r>
      <w:r>
        <w:rPr>
          <w:rStyle w:val="9"/>
          <w:sz w:val="18"/>
          <w:szCs w:val="18"/>
          <w:u w:val="none"/>
        </w:rPr>
        <w:fldChar w:fldCharType="end"/>
      </w:r>
      <w:r>
        <w:rPr>
          <w:color w:val="0000FF"/>
          <w:sz w:val="18"/>
          <w:szCs w:val="18"/>
        </w:rPr>
        <w:t xml:space="preserve">  </w:t>
      </w:r>
      <w:r>
        <w:rPr>
          <w:sz w:val="18"/>
          <w:szCs w:val="18"/>
        </w:rPr>
        <w:t xml:space="preserve">|   </w:t>
      </w:r>
      <w:r>
        <w:rPr>
          <w:color w:val="585858"/>
          <w:sz w:val="18"/>
          <w:szCs w:val="18"/>
        </w:rPr>
        <w:t xml:space="preserve">E-mail: </w:t>
      </w:r>
      <w:r>
        <w:fldChar w:fldCharType="begin"/>
      </w:r>
      <w:r>
        <w:instrText xml:space="preserve"> HYPERLINK "mailto:climatechange@meetingseries.com" </w:instrText>
      </w:r>
      <w:r>
        <w:fldChar w:fldCharType="separate"/>
      </w:r>
      <w:r>
        <w:rPr>
          <w:rStyle w:val="9"/>
          <w:sz w:val="18"/>
          <w:szCs w:val="18"/>
          <w:u w:val="none"/>
        </w:rPr>
        <w:t>climatechange@meetingseries.com</w:t>
      </w:r>
      <w:r>
        <w:rPr>
          <w:rStyle w:val="9"/>
          <w:sz w:val="18"/>
          <w:szCs w:val="18"/>
          <w:u w:val="none"/>
        </w:rPr>
        <w:fldChar w:fldCharType="end"/>
      </w:r>
    </w:p>
    <w:sectPr>
      <w:type w:val="continuous"/>
      <w:pgSz w:w="11910" w:h="16840"/>
      <w:pgMar w:top="600" w:right="180" w:bottom="280" w:left="1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entury Gothic">
    <w:panose1 w:val="020B0502020202020204"/>
    <w:charset w:val="00"/>
    <w:family w:val="swiss"/>
    <w:pitch w:val="default"/>
    <w:sig w:usb0="00000287" w:usb1="00000000" w:usb2="00000000" w:usb3="00000000" w:csb0="2000009F" w:csb1="DFD70000"/>
  </w:font>
  <w:font w:name="MS Mincho">
    <w:altName w:val="Yu Gothic UI"/>
    <w:panose1 w:val="02020609040205080304"/>
    <w:charset w:val="80"/>
    <w:family w:val="modern"/>
    <w:pitch w:val="default"/>
    <w:sig w:usb0="00000000" w:usb1="00000000" w:usb2="00000010" w:usb3="00000000" w:csb0="0002009F"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0002AFF" w:usb1="C000247B" w:usb2="00000009" w:usb3="00000000" w:csb0="200001FF" w:csb1="00000000"/>
  </w:font>
  <w:font w:name="AdvGulliv-R">
    <w:altName w:val="Yu Gothic"/>
    <w:panose1 w:val="00000000000000000000"/>
    <w:charset w:val="80"/>
    <w:family w:val="auto"/>
    <w:pitch w:val="default"/>
    <w:sig w:usb0="00000000" w:usb1="00000000" w:usb2="00000010" w:usb3="00000000" w:csb0="00020000" w:csb1="00000000"/>
  </w:font>
  <w:font w:name="Cambria">
    <w:panose1 w:val="02040503050406030204"/>
    <w:charset w:val="CC"/>
    <w:family w:val="roman"/>
    <w:pitch w:val="default"/>
    <w:sig w:usb0="E00006FF" w:usb1="420024FF" w:usb2="02000000" w:usb3="00000000" w:csb0="2000019F" w:csb1="00000000"/>
  </w:font>
  <w:font w:name="Yu Gothic">
    <w:panose1 w:val="020B0400000000000000"/>
    <w:charset w:val="80"/>
    <w:family w:val="auto"/>
    <w:pitch w:val="default"/>
    <w:sig w:usb0="E00002FF" w:usb1="2AC7FDFF" w:usb2="00000016" w:usb3="00000000" w:csb0="2002009F" w:csb1="00000000"/>
  </w:font>
  <w:font w:name="Yu Gothic UI">
    <w:panose1 w:val="020B0500000000000000"/>
    <w:charset w:val="80"/>
    <w:family w:val="auto"/>
    <w:pitch w:val="default"/>
    <w:sig w:usb0="E00002FF" w:usb1="2AC7FDFF" w:usb2="00000016" w:usb3="00000000" w:csb0="2002009F"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 w:name="Calibri Light">
    <w:panose1 w:val="020F0302020204030204"/>
    <w:charset w:val="00"/>
    <w:family w:val="auto"/>
    <w:pitch w:val="default"/>
    <w:sig w:usb0="E0002AFF" w:usb1="C000247B" w:usb2="00000009" w:usb3="00000000" w:csb0="200001FF" w:csb1="00000000"/>
  </w:font>
  <w:font w:name="Book Antiqua">
    <w:panose1 w:val="02040602050305030304"/>
    <w:charset w:val="00"/>
    <w:family w:val="auto"/>
    <w:pitch w:val="default"/>
    <w:sig w:usb0="00000287" w:usb1="00000000" w:usb2="00000000" w:usb3="00000000" w:csb0="2000009F" w:csb1="DFD70000"/>
  </w:font>
  <w:font w:name="Bookman Old Style">
    <w:panose1 w:val="02050604050505020204"/>
    <w:charset w:val="00"/>
    <w:family w:val="auto"/>
    <w:pitch w:val="default"/>
    <w:sig w:usb0="00000287" w:usb1="000000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Bradley Hand ITC">
    <w:panose1 w:val="03070402050302030203"/>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MS PGothic">
    <w:panose1 w:val="020B0600070205080204"/>
    <w:charset w:val="80"/>
    <w:family w:val="auto"/>
    <w:pitch w:val="default"/>
    <w:sig w:usb0="E00002FF" w:usb1="6AC7FDFB" w:usb2="08000012" w:usb3="00000000" w:csb0="4002009F" w:csb1="DFD70000"/>
  </w:font>
  <w:font w:name="Tahoma">
    <w:panose1 w:val="020B0604030504040204"/>
    <w:charset w:val="CC"/>
    <w:family w:val="swiss"/>
    <w:pitch w:val="default"/>
    <w:sig w:usb0="E1002EFF" w:usb1="C000605B" w:usb2="00000029" w:usb3="00000000" w:csb0="200101FF" w:csb1="20280000"/>
  </w:font>
  <w:font w:name="Calibri">
    <w:panose1 w:val="020F0502020204030204"/>
    <w:charset w:val="00"/>
    <w:family w:val="auto"/>
    <w:pitch w:val="default"/>
    <w:sig w:usb0="E0002AFF" w:usb1="C000247B" w:usb2="00000009" w:usb3="00000000" w:csb0="200001FF" w:csb1="00000000"/>
  </w:font>
  <w:font w:name="Arial CYR">
    <w:altName w:val="Arial"/>
    <w:panose1 w:val="020B0604020202020204"/>
    <w:charset w:val="CC"/>
    <w:family w:val="swiss"/>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multilevel"/>
    <w:tmpl w:val="1F2E6876"/>
    <w:lvl w:ilvl="0" w:tentative="0">
      <w:start w:val="1"/>
      <w:numFmt w:val="upperRoman"/>
      <w:lvlText w:val="%1."/>
      <w:lvlJc w:val="left"/>
      <w:pPr>
        <w:ind w:left="1866" w:hanging="447"/>
        <w:jc w:val="right"/>
      </w:pPr>
      <w:rPr>
        <w:rFonts w:hint="default" w:ascii="Times New Roman" w:hAnsi="Times New Roman" w:eastAsia="Times New Roman" w:cs="Times New Roman"/>
        <w:b/>
        <w:bCs/>
        <w:color w:val="585858"/>
        <w:w w:val="99"/>
        <w:sz w:val="19"/>
        <w:szCs w:val="19"/>
      </w:rPr>
    </w:lvl>
    <w:lvl w:ilvl="1" w:tentative="0">
      <w:start w:val="0"/>
      <w:numFmt w:val="bullet"/>
      <w:lvlText w:val="•"/>
      <w:lvlJc w:val="left"/>
      <w:pPr>
        <w:ind w:left="2237" w:hanging="447"/>
      </w:pPr>
      <w:rPr>
        <w:rFonts w:hint="default"/>
      </w:rPr>
    </w:lvl>
    <w:lvl w:ilvl="2" w:tentative="0">
      <w:start w:val="0"/>
      <w:numFmt w:val="bullet"/>
      <w:lvlText w:val="•"/>
      <w:lvlJc w:val="left"/>
      <w:pPr>
        <w:ind w:left="2615" w:hanging="447"/>
      </w:pPr>
      <w:rPr>
        <w:rFonts w:hint="default"/>
      </w:rPr>
    </w:lvl>
    <w:lvl w:ilvl="3" w:tentative="0">
      <w:start w:val="0"/>
      <w:numFmt w:val="bullet"/>
      <w:lvlText w:val="•"/>
      <w:lvlJc w:val="left"/>
      <w:pPr>
        <w:ind w:left="2993" w:hanging="447"/>
      </w:pPr>
      <w:rPr>
        <w:rFonts w:hint="default"/>
      </w:rPr>
    </w:lvl>
    <w:lvl w:ilvl="4" w:tentative="0">
      <w:start w:val="0"/>
      <w:numFmt w:val="bullet"/>
      <w:lvlText w:val="•"/>
      <w:lvlJc w:val="left"/>
      <w:pPr>
        <w:ind w:left="3371" w:hanging="447"/>
      </w:pPr>
      <w:rPr>
        <w:rFonts w:hint="default"/>
      </w:rPr>
    </w:lvl>
    <w:lvl w:ilvl="5" w:tentative="0">
      <w:start w:val="0"/>
      <w:numFmt w:val="bullet"/>
      <w:lvlText w:val="•"/>
      <w:lvlJc w:val="left"/>
      <w:pPr>
        <w:ind w:left="3749" w:hanging="447"/>
      </w:pPr>
      <w:rPr>
        <w:rFonts w:hint="default"/>
      </w:rPr>
    </w:lvl>
    <w:lvl w:ilvl="6" w:tentative="0">
      <w:start w:val="0"/>
      <w:numFmt w:val="bullet"/>
      <w:lvlText w:val="•"/>
      <w:lvlJc w:val="left"/>
      <w:pPr>
        <w:ind w:left="4127" w:hanging="447"/>
      </w:pPr>
      <w:rPr>
        <w:rFonts w:hint="default"/>
      </w:rPr>
    </w:lvl>
    <w:lvl w:ilvl="7" w:tentative="0">
      <w:start w:val="0"/>
      <w:numFmt w:val="bullet"/>
      <w:lvlText w:val="•"/>
      <w:lvlJc w:val="left"/>
      <w:pPr>
        <w:ind w:left="4504" w:hanging="447"/>
      </w:pPr>
      <w:rPr>
        <w:rFonts w:hint="default"/>
      </w:rPr>
    </w:lvl>
    <w:lvl w:ilvl="8" w:tentative="0">
      <w:start w:val="0"/>
      <w:numFmt w:val="bullet"/>
      <w:lvlText w:val="•"/>
      <w:lvlJc w:val="left"/>
      <w:pPr>
        <w:ind w:left="4882" w:hanging="447"/>
      </w:pPr>
      <w:rPr>
        <w:rFonts w:hint="default"/>
      </w:rPr>
    </w:lvl>
  </w:abstractNum>
  <w:abstractNum w:abstractNumId="1">
    <w:nsid w:val="5B16EAE9"/>
    <w:multiLevelType w:val="singleLevel"/>
    <w:tmpl w:val="5B16EAE9"/>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58095B"/>
    <w:rsid w:val="00677986"/>
    <w:rsid w:val="0087363E"/>
    <w:rsid w:val="008C3ACE"/>
    <w:rsid w:val="00935715"/>
    <w:rsid w:val="009F3FAE"/>
    <w:rsid w:val="00A11783"/>
    <w:rsid w:val="00B5063E"/>
    <w:rsid w:val="00BF55A2"/>
    <w:rsid w:val="00D13B33"/>
    <w:rsid w:val="00EC4830"/>
    <w:rsid w:val="00FE1385"/>
    <w:rsid w:val="1D670619"/>
    <w:rsid w:val="326B2022"/>
    <w:rsid w:val="599B3107"/>
    <w:rsid w:val="696D08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next w:val="1"/>
    <w:qFormat/>
    <w:uiPriority w:val="1"/>
    <w:pPr>
      <w:spacing w:before="74"/>
      <w:ind w:left="594" w:right="151"/>
      <w:outlineLvl w:val="0"/>
    </w:pPr>
    <w:rPr>
      <w:b/>
      <w:bCs/>
    </w:rPr>
  </w:style>
  <w:style w:type="paragraph" w:styleId="3">
    <w:name w:val="heading 2"/>
    <w:basedOn w:val="1"/>
    <w:next w:val="1"/>
    <w:qFormat/>
    <w:uiPriority w:val="1"/>
    <w:pPr>
      <w:ind w:left="1105" w:right="1370"/>
      <w:jc w:val="center"/>
      <w:outlineLvl w:val="1"/>
    </w:pPr>
    <w:rPr>
      <w:sz w:val="20"/>
      <w:szCs w:val="20"/>
    </w:rPr>
  </w:style>
  <w:style w:type="paragraph" w:styleId="4">
    <w:name w:val="heading 3"/>
    <w:basedOn w:val="1"/>
    <w:next w:val="1"/>
    <w:qFormat/>
    <w:uiPriority w:val="1"/>
    <w:pPr>
      <w:ind w:left="1757" w:hanging="447"/>
      <w:outlineLvl w:val="2"/>
    </w:pPr>
    <w:rPr>
      <w:b/>
      <w:bCs/>
      <w:sz w:val="19"/>
      <w:szCs w:val="19"/>
    </w:rPr>
  </w:style>
  <w:style w:type="character" w:default="1" w:styleId="7">
    <w:name w:val="Default Paragraph Font"/>
    <w:unhideWhenUsed/>
    <w:uiPriority w:val="1"/>
  </w:style>
  <w:style w:type="table" w:default="1" w:styleId="10">
    <w:name w:val="Normal Table"/>
    <w:unhideWhenUsed/>
    <w:uiPriority w:val="99"/>
    <w:tblPr>
      <w:tblLayout w:type="fixed"/>
      <w:tblCellMar>
        <w:top w:w="0" w:type="dxa"/>
        <w:left w:w="108" w:type="dxa"/>
        <w:bottom w:w="0" w:type="dxa"/>
        <w:right w:w="108" w:type="dxa"/>
      </w:tblCellMar>
    </w:tblPr>
  </w:style>
  <w:style w:type="paragraph" w:styleId="5">
    <w:name w:val="Balloon Text"/>
    <w:basedOn w:val="1"/>
    <w:link w:val="13"/>
    <w:unhideWhenUsed/>
    <w:qFormat/>
    <w:uiPriority w:val="99"/>
    <w:rPr>
      <w:rFonts w:ascii="Tahoma" w:hAnsi="Tahoma" w:cs="Tahoma"/>
      <w:sz w:val="16"/>
      <w:szCs w:val="16"/>
    </w:rPr>
  </w:style>
  <w:style w:type="paragraph" w:styleId="6">
    <w:name w:val="Body Text"/>
    <w:basedOn w:val="1"/>
    <w:qFormat/>
    <w:uiPriority w:val="1"/>
    <w:rPr>
      <w:sz w:val="19"/>
      <w:szCs w:val="19"/>
    </w:rPr>
  </w:style>
  <w:style w:type="character" w:styleId="8">
    <w:name w:val="FollowedHyperlink"/>
    <w:basedOn w:val="7"/>
    <w:unhideWhenUsed/>
    <w:qFormat/>
    <w:uiPriority w:val="99"/>
    <w:rPr>
      <w:color w:val="800080" w:themeColor="followedHyperlink"/>
      <w:u w:val="single"/>
      <w14:textFill>
        <w14:solidFill>
          <w14:schemeClr w14:val="folHlink"/>
        </w14:solidFill>
      </w14:textFill>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paragraph" w:customStyle="1" w:styleId="11">
    <w:name w:val="List Paragraph"/>
    <w:basedOn w:val="1"/>
    <w:qFormat/>
    <w:uiPriority w:val="1"/>
    <w:pPr>
      <w:ind w:left="1757" w:hanging="447"/>
    </w:pPr>
  </w:style>
  <w:style w:type="paragraph" w:customStyle="1" w:styleId="12">
    <w:name w:val="Table Paragraph"/>
    <w:basedOn w:val="1"/>
    <w:qFormat/>
    <w:uiPriority w:val="1"/>
  </w:style>
  <w:style w:type="character" w:customStyle="1" w:styleId="13">
    <w:name w:val="Balloon Text Char"/>
    <w:basedOn w:val="7"/>
    <w:link w:val="5"/>
    <w:semiHidden/>
    <w:qFormat/>
    <w:uiPriority w:val="99"/>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chart" Target="charts/chart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D:\JOURNAL-PUBLICATIONS\ENERGY\InTECH\ENVIRONMENT&amp;EFFICIENCY%20HPS\All%20about%20Fu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04045301484"/>
          <c:y val="0.0391073142556211"/>
          <c:w val="0.481097289309425"/>
          <c:h val="0.798225065616798"/>
        </c:manualLayout>
      </c:layout>
      <c:scatterChart>
        <c:scatterStyle val="smoothMarker"/>
        <c:varyColors val="0"/>
        <c:ser>
          <c:idx val="0"/>
          <c:order val="0"/>
          <c:tx>
            <c:strRef>
              <c:f>Sheet4!$B$2:$B$3</c:f>
              <c:strCache>
                <c:ptCount val="1"/>
                <c:pt idx="0">
                  <c:v>Nuclear,  TJx10^6</c:v>
                </c:pt>
              </c:strCache>
            </c:strRef>
          </c:tx>
          <c:marker>
            <c:symbol val="none"/>
          </c:marker>
          <c:dLbls>
            <c:delete val="1"/>
          </c:dLbls>
          <c:xVal>
            <c:numRef>
              <c:f>Sheet4!$A$4:$A$32</c:f>
              <c:numCache>
                <c:formatCode>General</c:formatCode>
                <c:ptCount val="29"/>
                <c:pt idx="0">
                  <c:v>1973</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2008</c:v>
                </c:pt>
                <c:pt idx="28">
                  <c:v>2009</c:v>
                </c:pt>
              </c:numCache>
            </c:numRef>
          </c:xVal>
          <c:yVal>
            <c:numRef>
              <c:f>Sheet4!$B$4:$B$32</c:f>
              <c:numCache>
                <c:formatCode>0.0</c:formatCode>
                <c:ptCount val="29"/>
                <c:pt idx="0">
                  <c:v>3.2</c:v>
                </c:pt>
                <c:pt idx="1">
                  <c:v>13.2</c:v>
                </c:pt>
                <c:pt idx="2">
                  <c:v>14.4</c:v>
                </c:pt>
                <c:pt idx="3">
                  <c:v>15.6</c:v>
                </c:pt>
                <c:pt idx="4">
                  <c:v>16.9</c:v>
                </c:pt>
                <c:pt idx="5">
                  <c:v>18.1</c:v>
                </c:pt>
                <c:pt idx="6">
                  <c:v>19.3</c:v>
                </c:pt>
                <c:pt idx="7">
                  <c:v>20.6</c:v>
                </c:pt>
                <c:pt idx="8">
                  <c:v>21.8</c:v>
                </c:pt>
                <c:pt idx="9">
                  <c:v>23</c:v>
                </c:pt>
                <c:pt idx="10">
                  <c:v>24.2</c:v>
                </c:pt>
                <c:pt idx="11">
                  <c:v>25.4</c:v>
                </c:pt>
                <c:pt idx="12">
                  <c:v>26.7</c:v>
                </c:pt>
                <c:pt idx="13">
                  <c:v>27.9</c:v>
                </c:pt>
                <c:pt idx="14">
                  <c:v>29.1</c:v>
                </c:pt>
                <c:pt idx="15">
                  <c:v>30.3</c:v>
                </c:pt>
                <c:pt idx="16">
                  <c:v>31.5</c:v>
                </c:pt>
                <c:pt idx="17">
                  <c:v>32.7</c:v>
                </c:pt>
                <c:pt idx="18">
                  <c:v>33.9</c:v>
                </c:pt>
                <c:pt idx="19">
                  <c:v>35.1</c:v>
                </c:pt>
                <c:pt idx="20">
                  <c:v>36.3</c:v>
                </c:pt>
                <c:pt idx="21">
                  <c:v>37.5</c:v>
                </c:pt>
                <c:pt idx="22">
                  <c:v>38.7</c:v>
                </c:pt>
                <c:pt idx="23">
                  <c:v>39.9</c:v>
                </c:pt>
                <c:pt idx="24">
                  <c:v>41</c:v>
                </c:pt>
                <c:pt idx="25">
                  <c:v>42.2</c:v>
                </c:pt>
                <c:pt idx="26">
                  <c:v>43.4</c:v>
                </c:pt>
                <c:pt idx="27">
                  <c:v>45.8</c:v>
                </c:pt>
                <c:pt idx="28">
                  <c:v>46.9</c:v>
                </c:pt>
              </c:numCache>
            </c:numRef>
          </c:yVal>
          <c:smooth val="1"/>
        </c:ser>
        <c:ser>
          <c:idx val="1"/>
          <c:order val="1"/>
          <c:tx>
            <c:strRef>
              <c:f>Sheet4!$C$2:$C$3</c:f>
              <c:strCache>
                <c:ptCount val="1"/>
                <c:pt idx="0">
                  <c:v>Coal, TJx10^6</c:v>
                </c:pt>
              </c:strCache>
            </c:strRef>
          </c:tx>
          <c:marker>
            <c:symbol val="none"/>
          </c:marker>
          <c:dLbls>
            <c:delete val="1"/>
          </c:dLbls>
          <c:xVal>
            <c:numRef>
              <c:f>Sheet4!$A$4:$A$32</c:f>
              <c:numCache>
                <c:formatCode>General</c:formatCode>
                <c:ptCount val="29"/>
                <c:pt idx="0">
                  <c:v>1973</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2008</c:v>
                </c:pt>
                <c:pt idx="28">
                  <c:v>2009</c:v>
                </c:pt>
              </c:numCache>
            </c:numRef>
          </c:xVal>
          <c:yVal>
            <c:numRef>
              <c:f>Sheet4!$C$4:$C$32</c:f>
              <c:numCache>
                <c:formatCode>0.0</c:formatCode>
                <c:ptCount val="29"/>
                <c:pt idx="0">
                  <c:v>91.74</c:v>
                </c:pt>
                <c:pt idx="1">
                  <c:v>102.44</c:v>
                </c:pt>
                <c:pt idx="2">
                  <c:v>104</c:v>
                </c:pt>
                <c:pt idx="3">
                  <c:v>105.5</c:v>
                </c:pt>
                <c:pt idx="4">
                  <c:v>107.1</c:v>
                </c:pt>
                <c:pt idx="5">
                  <c:v>108.82</c:v>
                </c:pt>
                <c:pt idx="6">
                  <c:v>110.5</c:v>
                </c:pt>
                <c:pt idx="7">
                  <c:v>112.3</c:v>
                </c:pt>
                <c:pt idx="8">
                  <c:v>114.2</c:v>
                </c:pt>
                <c:pt idx="9">
                  <c:v>116.1</c:v>
                </c:pt>
                <c:pt idx="10">
                  <c:v>118.1</c:v>
                </c:pt>
                <c:pt idx="11">
                  <c:v>120.1</c:v>
                </c:pt>
                <c:pt idx="12">
                  <c:v>122.2</c:v>
                </c:pt>
                <c:pt idx="13">
                  <c:v>124.4</c:v>
                </c:pt>
                <c:pt idx="14">
                  <c:v>126.7</c:v>
                </c:pt>
                <c:pt idx="15">
                  <c:v>129.1</c:v>
                </c:pt>
                <c:pt idx="16">
                  <c:v>131.5</c:v>
                </c:pt>
                <c:pt idx="17">
                  <c:v>134.1</c:v>
                </c:pt>
                <c:pt idx="18">
                  <c:v>136.8</c:v>
                </c:pt>
                <c:pt idx="19">
                  <c:v>139.5</c:v>
                </c:pt>
                <c:pt idx="20">
                  <c:v>142.4</c:v>
                </c:pt>
                <c:pt idx="21">
                  <c:v>145.4</c:v>
                </c:pt>
                <c:pt idx="22">
                  <c:v>148.6</c:v>
                </c:pt>
                <c:pt idx="23">
                  <c:v>151.9</c:v>
                </c:pt>
                <c:pt idx="24">
                  <c:v>155.3</c:v>
                </c:pt>
                <c:pt idx="25">
                  <c:v>158.9</c:v>
                </c:pt>
                <c:pt idx="26">
                  <c:v>162.7</c:v>
                </c:pt>
                <c:pt idx="27">
                  <c:v>170.9</c:v>
                </c:pt>
                <c:pt idx="28">
                  <c:v>175.3</c:v>
                </c:pt>
              </c:numCache>
            </c:numRef>
          </c:yVal>
          <c:smooth val="1"/>
        </c:ser>
        <c:ser>
          <c:idx val="2"/>
          <c:order val="2"/>
          <c:tx>
            <c:strRef>
              <c:f>Sheet4!$D$2:$D$3</c:f>
              <c:strCache>
                <c:ptCount val="1"/>
                <c:pt idx="0">
                  <c:v>Crude oil, TJx10^6</c:v>
                </c:pt>
              </c:strCache>
            </c:strRef>
          </c:tx>
          <c:marker>
            <c:symbol val="none"/>
          </c:marker>
          <c:dLbls>
            <c:delete val="1"/>
          </c:dLbls>
          <c:xVal>
            <c:numRef>
              <c:f>Sheet4!$A$4:$A$32</c:f>
              <c:numCache>
                <c:formatCode>General</c:formatCode>
                <c:ptCount val="29"/>
                <c:pt idx="0">
                  <c:v>1973</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2008</c:v>
                </c:pt>
                <c:pt idx="28">
                  <c:v>2009</c:v>
                </c:pt>
              </c:numCache>
            </c:numRef>
          </c:xVal>
          <c:yVal>
            <c:numRef>
              <c:f>Sheet4!$D$4:$D$32</c:f>
              <c:numCache>
                <c:formatCode>0.0</c:formatCode>
                <c:ptCount val="29"/>
                <c:pt idx="0">
                  <c:v>104.8</c:v>
                </c:pt>
                <c:pt idx="1">
                  <c:v>112.6</c:v>
                </c:pt>
                <c:pt idx="2">
                  <c:v>113.7</c:v>
                </c:pt>
                <c:pt idx="3">
                  <c:v>114.84</c:v>
                </c:pt>
                <c:pt idx="4">
                  <c:v>115.91</c:v>
                </c:pt>
                <c:pt idx="5">
                  <c:v>117.01</c:v>
                </c:pt>
                <c:pt idx="6">
                  <c:v>118.2</c:v>
                </c:pt>
                <c:pt idx="7">
                  <c:v>119.4</c:v>
                </c:pt>
                <c:pt idx="8">
                  <c:v>120.6</c:v>
                </c:pt>
                <c:pt idx="9">
                  <c:v>121.8</c:v>
                </c:pt>
                <c:pt idx="10">
                  <c:v>123.1</c:v>
                </c:pt>
                <c:pt idx="11">
                  <c:v>124.4</c:v>
                </c:pt>
                <c:pt idx="12">
                  <c:v>125.7</c:v>
                </c:pt>
                <c:pt idx="13">
                  <c:v>127.1</c:v>
                </c:pt>
                <c:pt idx="14">
                  <c:v>128.4</c:v>
                </c:pt>
                <c:pt idx="15">
                  <c:v>129.9</c:v>
                </c:pt>
                <c:pt idx="16">
                  <c:v>131.3</c:v>
                </c:pt>
                <c:pt idx="17">
                  <c:v>132.8</c:v>
                </c:pt>
                <c:pt idx="18">
                  <c:v>134.3</c:v>
                </c:pt>
                <c:pt idx="19">
                  <c:v>135.8</c:v>
                </c:pt>
                <c:pt idx="20">
                  <c:v>137.4</c:v>
                </c:pt>
                <c:pt idx="21">
                  <c:v>139.1</c:v>
                </c:pt>
                <c:pt idx="22">
                  <c:v>140.7</c:v>
                </c:pt>
                <c:pt idx="23">
                  <c:v>142.4</c:v>
                </c:pt>
                <c:pt idx="24">
                  <c:v>144.2</c:v>
                </c:pt>
                <c:pt idx="25">
                  <c:v>146</c:v>
                </c:pt>
                <c:pt idx="26">
                  <c:v>147.8</c:v>
                </c:pt>
                <c:pt idx="27">
                  <c:v>151.7</c:v>
                </c:pt>
                <c:pt idx="28">
                  <c:v>153.7</c:v>
                </c:pt>
              </c:numCache>
            </c:numRef>
          </c:yVal>
          <c:smooth val="1"/>
        </c:ser>
        <c:ser>
          <c:idx val="3"/>
          <c:order val="3"/>
          <c:tx>
            <c:strRef>
              <c:f>Sheet4!$E$2:$E$3</c:f>
              <c:strCache>
                <c:ptCount val="1"/>
                <c:pt idx="0">
                  <c:v>Natural Gas, TJx10^6</c:v>
                </c:pt>
              </c:strCache>
            </c:strRef>
          </c:tx>
          <c:marker>
            <c:symbol val="none"/>
          </c:marker>
          <c:dLbls>
            <c:delete val="1"/>
          </c:dLbls>
          <c:xVal>
            <c:numRef>
              <c:f>Sheet4!$A$4:$A$32</c:f>
              <c:numCache>
                <c:formatCode>General</c:formatCode>
                <c:ptCount val="29"/>
                <c:pt idx="0">
                  <c:v>1973</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2008</c:v>
                </c:pt>
                <c:pt idx="28">
                  <c:v>2009</c:v>
                </c:pt>
              </c:numCache>
            </c:numRef>
          </c:xVal>
          <c:yVal>
            <c:numRef>
              <c:f>Sheet4!$E$4:$E$32</c:f>
              <c:numCache>
                <c:formatCode>0.0</c:formatCode>
                <c:ptCount val="29"/>
                <c:pt idx="0">
                  <c:v>44.7</c:v>
                </c:pt>
                <c:pt idx="1">
                  <c:v>57.8</c:v>
                </c:pt>
                <c:pt idx="2">
                  <c:v>59.6</c:v>
                </c:pt>
                <c:pt idx="3">
                  <c:v>61.35</c:v>
                </c:pt>
                <c:pt idx="4">
                  <c:v>63.14</c:v>
                </c:pt>
                <c:pt idx="5">
                  <c:v>64.96</c:v>
                </c:pt>
                <c:pt idx="6">
                  <c:v>66.8</c:v>
                </c:pt>
                <c:pt idx="7">
                  <c:v>68.7</c:v>
                </c:pt>
                <c:pt idx="8">
                  <c:v>70.6</c:v>
                </c:pt>
                <c:pt idx="9">
                  <c:v>72.5</c:v>
                </c:pt>
                <c:pt idx="10">
                  <c:v>74.4</c:v>
                </c:pt>
                <c:pt idx="11">
                  <c:v>76.4</c:v>
                </c:pt>
                <c:pt idx="12">
                  <c:v>78.4</c:v>
                </c:pt>
                <c:pt idx="13">
                  <c:v>80.4</c:v>
                </c:pt>
                <c:pt idx="14">
                  <c:v>82.5</c:v>
                </c:pt>
                <c:pt idx="15">
                  <c:v>84.6</c:v>
                </c:pt>
                <c:pt idx="16">
                  <c:v>86.7</c:v>
                </c:pt>
                <c:pt idx="17">
                  <c:v>88.8</c:v>
                </c:pt>
                <c:pt idx="18">
                  <c:v>91</c:v>
                </c:pt>
                <c:pt idx="19">
                  <c:v>93.2</c:v>
                </c:pt>
                <c:pt idx="20">
                  <c:v>95.4</c:v>
                </c:pt>
                <c:pt idx="21">
                  <c:v>97.7</c:v>
                </c:pt>
                <c:pt idx="22">
                  <c:v>100</c:v>
                </c:pt>
                <c:pt idx="23">
                  <c:v>102.3</c:v>
                </c:pt>
                <c:pt idx="24">
                  <c:v>104.7</c:v>
                </c:pt>
                <c:pt idx="25">
                  <c:v>107.1</c:v>
                </c:pt>
                <c:pt idx="26">
                  <c:v>109.5</c:v>
                </c:pt>
                <c:pt idx="27">
                  <c:v>114.5</c:v>
                </c:pt>
                <c:pt idx="28">
                  <c:v>117</c:v>
                </c:pt>
              </c:numCache>
            </c:numRef>
          </c:yVal>
          <c:smooth val="1"/>
        </c:ser>
        <c:dLbls>
          <c:showLegendKey val="0"/>
          <c:showVal val="0"/>
          <c:showCatName val="0"/>
          <c:showSerName val="0"/>
          <c:showPercent val="0"/>
          <c:showBubbleSize val="0"/>
        </c:dLbls>
        <c:axId val="119111680"/>
        <c:axId val="119292288"/>
      </c:scatterChart>
      <c:valAx>
        <c:axId val="11911168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119292288"/>
        <c:crosses val="autoZero"/>
        <c:crossBetween val="midCat"/>
      </c:valAx>
      <c:valAx>
        <c:axId val="119292288"/>
        <c:scaling>
          <c:orientation val="minMax"/>
        </c:scaling>
        <c:delete val="0"/>
        <c:axPos val="l"/>
        <c:majorGridlines/>
        <c:numFmt formatCode="0.0"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119111680"/>
        <c:crosses val="autoZero"/>
        <c:crossBetween val="midCat"/>
      </c:valAx>
    </c:plotArea>
    <c:legend>
      <c:legendPos val="r"/>
      <c:layout>
        <c:manualLayout>
          <c:xMode val="edge"/>
          <c:yMode val="edge"/>
          <c:x val="0.632138114209827"/>
          <c:y val="0.157615291262136"/>
        </c:manualLayout>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558</Words>
  <Characters>3182</Characters>
  <Lines>26</Lines>
  <Paragraphs>7</Paragraphs>
  <ScaleCrop>false</ScaleCrop>
  <LinksUpToDate>false</LinksUpToDate>
  <CharactersWithSpaces>3733</CharactersWithSpaces>
  <Application>WPS Office_10.2.0.5978_F1E327BC-269C-435d-A152-05C5408002CA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2018-02-05T12:50:00Z</dcterms:created>
  <dc:creator>IEEE</dc:creator>
  <cp:lastModifiedBy>1</cp:lastModifiedBy>
  <dcterms:modified xsi:type="dcterms:W3CDTF">2018-06-06T17:34:42Z</dcterms:modified>
  <dc:title>Paper Title (use style: paper title)</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y fmtid="{D5CDD505-2E9C-101B-9397-08002B2CF9AE}" pid="5" name="KSOProductBuildVer">
    <vt:lpwstr>1049-10.2.0.5978</vt:lpwstr>
  </property>
</Properties>
</file>