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8AA" w:rsidRPr="00D864F6" w:rsidRDefault="008248AA" w:rsidP="00123E50">
      <w:pPr>
        <w:spacing w:after="0"/>
        <w:rPr>
          <w:rFonts w:ascii="Minion Pro" w:hAnsi="Minion Pro"/>
          <w:b/>
          <w:color w:val="984806" w:themeColor="accent6" w:themeShade="80"/>
          <w:sz w:val="36"/>
          <w:szCs w:val="36"/>
        </w:rPr>
      </w:pPr>
      <w:bookmarkStart w:id="0" w:name="_GoBack"/>
      <w:bookmarkEnd w:id="0"/>
      <w:r w:rsidRPr="00D864F6">
        <w:rPr>
          <w:rFonts w:ascii="Minion Pro" w:hAnsi="Minion Pro"/>
          <w:b/>
          <w:color w:val="984806" w:themeColor="accent6" w:themeShade="80"/>
          <w:sz w:val="36"/>
          <w:szCs w:val="36"/>
        </w:rPr>
        <w:t>Risk Safety In Acupuncture Therapy In Uncertified Practitioners</w:t>
      </w:r>
    </w:p>
    <w:p w:rsidR="00D864F6" w:rsidRPr="00D864F6" w:rsidRDefault="00D864F6" w:rsidP="00123E50">
      <w:pPr>
        <w:spacing w:after="0"/>
        <w:rPr>
          <w:rFonts w:ascii="Arial" w:hAnsi="Arial" w:cs="Arial"/>
          <w:sz w:val="18"/>
          <w:szCs w:val="18"/>
        </w:rPr>
      </w:pPr>
      <w:r w:rsidRPr="00D864F6">
        <w:rPr>
          <w:rFonts w:ascii="Arial" w:hAnsi="Arial" w:cs="Arial"/>
          <w:sz w:val="18"/>
          <w:szCs w:val="18"/>
        </w:rPr>
        <w:t xml:space="preserve">Bayu Yoni Setyo Nugroho, A.Md.Akp., SKM , </w:t>
      </w:r>
      <w:r>
        <w:rPr>
          <w:rFonts w:ascii="Arial" w:hAnsi="Arial" w:cs="Arial"/>
          <w:sz w:val="18"/>
          <w:szCs w:val="18"/>
        </w:rPr>
        <w:t>(</w:t>
      </w:r>
      <w:r w:rsidRPr="00D864F6">
        <w:rPr>
          <w:rFonts w:ascii="Arial" w:hAnsi="Arial" w:cs="Arial"/>
          <w:sz w:val="18"/>
          <w:szCs w:val="18"/>
        </w:rPr>
        <w:t>Postgraduate University Gadjah Mada</w:t>
      </w:r>
      <w:r>
        <w:rPr>
          <w:rFonts w:ascii="Arial" w:hAnsi="Arial" w:cs="Arial"/>
          <w:sz w:val="18"/>
          <w:szCs w:val="18"/>
        </w:rPr>
        <w:t>)</w:t>
      </w:r>
    </w:p>
    <w:p w:rsidR="00D864F6" w:rsidRDefault="00D864F6" w:rsidP="00123E50">
      <w:pPr>
        <w:spacing w:after="0"/>
        <w:jc w:val="both"/>
        <w:rPr>
          <w:b/>
          <w:color w:val="BF5A14"/>
        </w:rPr>
      </w:pPr>
    </w:p>
    <w:p w:rsidR="00D864F6" w:rsidRDefault="00D864F6" w:rsidP="00E80F3C">
      <w:pPr>
        <w:jc w:val="both"/>
        <w:rPr>
          <w:b/>
          <w:color w:val="BF5A14"/>
        </w:rPr>
        <w:sectPr w:rsidR="00D864F6">
          <w:pgSz w:w="12240" w:h="15840"/>
          <w:pgMar w:top="1440" w:right="1440" w:bottom="1440" w:left="1440" w:header="708" w:footer="708" w:gutter="0"/>
          <w:cols w:space="708"/>
          <w:docGrid w:linePitch="360"/>
        </w:sectPr>
      </w:pPr>
    </w:p>
    <w:p w:rsidR="00D864F6" w:rsidRPr="00D864F6" w:rsidRDefault="00D864F6" w:rsidP="00E80F3C">
      <w:pPr>
        <w:jc w:val="both"/>
        <w:rPr>
          <w:b/>
        </w:rPr>
      </w:pPr>
      <w:r w:rsidRPr="00D864F6">
        <w:rPr>
          <w:b/>
          <w:color w:val="BF5A14"/>
        </w:rPr>
        <w:lastRenderedPageBreak/>
        <w:t>Abstract</w:t>
      </w:r>
      <w:r w:rsidRPr="00D864F6">
        <w:rPr>
          <w:b/>
        </w:rPr>
        <w:t xml:space="preserve"> </w:t>
      </w:r>
    </w:p>
    <w:p w:rsidR="00D864F6" w:rsidRDefault="008248AA" w:rsidP="00E80F3C">
      <w:pPr>
        <w:jc w:val="both"/>
      </w:pPr>
      <w:r w:rsidRPr="00D864F6">
        <w:rPr>
          <w:rFonts w:ascii="Tw Cen MT" w:hAnsi="Tw Cen MT"/>
          <w:sz w:val="18"/>
          <w:szCs w:val="18"/>
        </w:rPr>
        <w:t>Statement of the Problem</w:t>
      </w:r>
      <w:r w:rsidRPr="00D864F6">
        <w:rPr>
          <w:rFonts w:ascii="Tw Cen MT" w:hAnsi="Tw Cen MT"/>
          <w:sz w:val="18"/>
          <w:szCs w:val="18"/>
        </w:rPr>
        <w:t xml:space="preserve"> : </w:t>
      </w:r>
      <w:r w:rsidR="009D0256" w:rsidRPr="00D864F6">
        <w:rPr>
          <w:rFonts w:ascii="Tw Cen MT" w:hAnsi="Tw Cen MT"/>
          <w:sz w:val="18"/>
          <w:szCs w:val="18"/>
        </w:rPr>
        <w:t>A</w:t>
      </w:r>
      <w:r w:rsidRPr="00D864F6">
        <w:rPr>
          <w:rFonts w:ascii="Tw Cen MT" w:hAnsi="Tw Cen MT"/>
          <w:sz w:val="18"/>
          <w:szCs w:val="18"/>
        </w:rPr>
        <w:t>cupuncture becomes a complementary therapy in medicine using endogenous physiological mechanisms.</w:t>
      </w:r>
      <w:r w:rsidR="009D0256" w:rsidRPr="00D864F6">
        <w:rPr>
          <w:rFonts w:ascii="Tw Cen MT" w:hAnsi="Tw Cen MT"/>
          <w:sz w:val="18"/>
          <w:szCs w:val="18"/>
        </w:rPr>
        <w:t xml:space="preserve"> The development of acupuncture in australia based on the Chinese Medicine Board of Australia (CMBA) is over 4,000 in 2012. While </w:t>
      </w:r>
      <w:r w:rsidR="009D0256" w:rsidRPr="00D864F6">
        <w:rPr>
          <w:rFonts w:ascii="Tw Cen MT" w:hAnsi="Tw Cen MT"/>
          <w:sz w:val="18"/>
          <w:szCs w:val="18"/>
        </w:rPr>
        <w:t>in</w:t>
      </w:r>
      <w:r w:rsidR="009D0256" w:rsidRPr="00D864F6">
        <w:rPr>
          <w:rFonts w:ascii="Tw Cen MT" w:hAnsi="Tw Cen MT"/>
          <w:sz w:val="18"/>
          <w:szCs w:val="18"/>
        </w:rPr>
        <w:t xml:space="preserve"> Indonesian </w:t>
      </w:r>
      <w:r w:rsidR="009D0256" w:rsidRPr="00D864F6">
        <w:rPr>
          <w:rFonts w:ascii="Tw Cen MT" w:hAnsi="Tw Cen MT"/>
          <w:sz w:val="18"/>
          <w:szCs w:val="18"/>
        </w:rPr>
        <w:t>more than 3,000</w:t>
      </w:r>
      <w:r w:rsidR="009D0256" w:rsidRPr="00D864F6">
        <w:rPr>
          <w:rFonts w:ascii="Tw Cen MT" w:hAnsi="Tw Cen MT"/>
          <w:sz w:val="18"/>
          <w:szCs w:val="18"/>
        </w:rPr>
        <w:t xml:space="preserve"> doctors are recorded a acupuncture courses. Acupuncture is included in invasive treatments threat risk to patients and practitioners. Acupuncture uses needle manipulation to stimulate "de Qi" nerves but has risks. Hazard threats of bacterial infection, hematoma, needle bending, needle left behind, fainting patient, anatomical damage, metal allergy. Autopsy results reported that patients died after acupuncture on acute subdural hematoma servings were also found in other cases of acupuncture on abdominal hemorrhagic subcutaneous stomach and cases of acupuncture found on bilateral tension pneumothorax.</w:t>
      </w:r>
      <w:r w:rsidR="00D864F6" w:rsidRPr="00D864F6">
        <w:rPr>
          <w:rFonts w:ascii="Tw Cen MT" w:hAnsi="Tw Cen MT"/>
          <w:sz w:val="18"/>
          <w:szCs w:val="18"/>
        </w:rPr>
        <w:t xml:space="preserve"> </w:t>
      </w:r>
      <w:r w:rsidR="009D0256" w:rsidRPr="00D864F6">
        <w:rPr>
          <w:rFonts w:ascii="Tw Cen MT" w:hAnsi="Tw Cen MT"/>
          <w:sz w:val="18"/>
          <w:szCs w:val="18"/>
        </w:rPr>
        <w:t>Theoretical Methodology and Orientation: Studies of literature, using scientific article reviews and books on acupuncture.</w:t>
      </w:r>
      <w:r w:rsidR="00D864F6" w:rsidRPr="00D864F6">
        <w:rPr>
          <w:rFonts w:ascii="Tw Cen MT" w:hAnsi="Tw Cen MT"/>
          <w:sz w:val="18"/>
          <w:szCs w:val="18"/>
        </w:rPr>
        <w:t xml:space="preserve"> </w:t>
      </w:r>
      <w:r w:rsidR="009D0256" w:rsidRPr="00D864F6">
        <w:rPr>
          <w:rFonts w:ascii="Tw Cen MT" w:hAnsi="Tw Cen MT"/>
          <w:sz w:val="18"/>
          <w:szCs w:val="18"/>
        </w:rPr>
        <w:t xml:space="preserve">Findings: Many practitioners deepen the acupuncture of the </w:t>
      </w:r>
      <w:r w:rsidR="009D0256" w:rsidRPr="00D864F6">
        <w:rPr>
          <w:rFonts w:ascii="Tw Cen MT" w:hAnsi="Tw Cen MT"/>
          <w:sz w:val="18"/>
          <w:szCs w:val="18"/>
        </w:rPr>
        <w:t>short</w:t>
      </w:r>
      <w:r w:rsidR="009D0256" w:rsidRPr="00D864F6">
        <w:rPr>
          <w:rFonts w:ascii="Tw Cen MT" w:hAnsi="Tw Cen MT"/>
          <w:sz w:val="18"/>
          <w:szCs w:val="18"/>
        </w:rPr>
        <w:t xml:space="preserve"> course in duration as well as incomplete material on anatomy and from the science of ancestors or families who rely on experience without scientific evidence. Government oversight through weak acupuncture organizations makes it difficult to detect professional practitioners</w:t>
      </w:r>
      <w:r w:rsidR="00D864F6" w:rsidRPr="00D864F6">
        <w:rPr>
          <w:rFonts w:ascii="Tw Cen MT" w:hAnsi="Tw Cen MT"/>
          <w:sz w:val="18"/>
          <w:szCs w:val="18"/>
        </w:rPr>
        <w:t>. Conclusions and Significance: Acupuncture that causes very few deaths are reported, but with these few incidents it leads to a deeper evaluation. Recommendations make acupuncture practitioners certified and have formal education in the field of acupuncture.</w:t>
      </w:r>
      <w:r w:rsidR="00D864F6">
        <w:t xml:space="preserve"> </w:t>
      </w:r>
      <w:r w:rsidR="00D864F6" w:rsidRPr="007F3A21">
        <w:rPr>
          <w:color w:val="FFFFFF" w:themeColor="background1"/>
        </w:rPr>
        <w:fldChar w:fldCharType="begin" w:fldLock="1"/>
      </w:r>
      <w:r w:rsidR="00D864F6" w:rsidRPr="007F3A21">
        <w:rPr>
          <w:color w:val="FFFFFF" w:themeColor="background1"/>
        </w:rPr>
        <w:instrText>ADDIN CSL_CITATION { "citationItems" : [ { "id" : "ITEM-1", "itemData" : { "DOI" : "10.1016/S1003-5257(17)30017-X", "ISSN" : "10035257", "author" : [ { "dropping-particle" : "", "family" : "Wu", "given" : "Bin-Jiang", "non-dropping-particle" : "", "parse-names" : false, "suffix" : "" } ], "container-title" : "World journal of cupuncture and moxibustion", "id" : "ITEM-1", "issue" : "4", "issued" : { "date-parts" : [ [ "2016" ] ] }, "page" : "15-20", "publisher" : "World Journal of Acupuncture-Moxibustion House", "title" : "Ten development tendencies and strategies of Acupuncture in the 21 st century", "type" : "article-journal", "volume" : "26" }, "uris" : [ "http://www.mendeley.com/documents/?uuid=3849758f-89c1-42b4-8ae0-73145796a748" ] }, { "id" : "ITEM-2", "itemData" : { "author" : [ { "dropping-particle" : "", "family" : "Kingdom", "given" : "United", "non-dropping-particle" : "", "parse-names" : false, "suffix" : "" }, { "dropping-particle" : "", "family" : "Agency", "given" : "Copyright Licensing", "non-dropping-particle" : "", "parse-names" : false, "suffix" : "" }, { "dropping-particle" : "", "family" : "Road", "given" : "Tottenham Court", "non-dropping-particle" : "", "parse-names" : false, "suffix" : "" } ], "id" : "ITEM-2", "issued" : { "date-parts" : [ [ "0" ] ] }, "title" : "Butterworth-Heinemann An imprint of Elsevier Science Limited Robert Stevenson House Leith Walk Edinburgh EH1 3AF \u00a9 Anthony Campbell 2001 Campbell , Anthony , 1933 \u2013 Acupuncture in practice : beyond points and meridians ISBN 0 7506 5242 X Composition by Ge", "type" : "article-journal" }, "uris" : [ "http://www.mendeley.com/documents/?uuid=d85e6df2-a4f6-40d1-8022-0c620a366aab" ] }, { "id" : "ITEM-3", "itemData" : { "DOI" : "10.1016/j.imr.2014.06.002", "ISSN" : "22134220", "PMID" : "602211570", "abstract" : "Acupuncture was introduced to Australia as early as in the 1880s, and is a form of complementary and alternative medicine in this country. In the past 2 decades since the 1990s, acupuncture has experienced a rapid growth. Today, nearly 4000 acupuncturists are registered with the Chinese Medicine Board of Australia. \u201cAcupuncturist,\u201d \u201cOriental medicine practitioner,\u201d and \u201cChinese medicine practitioners\u201d are protected titles for registered acupuncturists. A bachelor's degree of 4 years in related fields is the minimal requirement for registration in Australia. Three public universities and three major private colleges offer nine undergraduate and three postgraduate programs that are approved by the Chinese Medicine Board of Australia. Those three universities also offer Master-degree and Doctor of Philosophy programs. Acupuncture is well accepted by the Australians, with 10% having received this treatment and 80% general medical practitioners referring their patients to acupuncture service. All private health insurance schemes provide rebates to patients receiving acupuncture treatment, and third-party payment is also available in six of eight Australian states and territories. Research output in acupuncture has increased greatly since 2000. A majority of research focuses on acupuncture and Tai Chi as treatment modalities, and mainly investigates their mechanism of action, associated pain, and gynecological and respiratory conditions. The future direction of acupuncture in Australia is to introduce this medicine in hospitals and gain access to the medical benefit scheme so that acupuncture can be accessed by a wider community, in particular those who come from a disadvantaged background. In conclusion, improved education, regulation, and research of acupuncture in Australia put this country in a leading position among Western countries with respect to acupuncture services.", "author" : [ { "dropping-particle" : "", "family" : "Zheng", "given" : "Zhen", "non-dropping-particle" : "", "parse-names" : false, "suffix" : "" } ], "container-title" : "Integrative Medicine Research", "id" : "ITEM-3", "issue" : "3", "issued" : { "date-parts" : [ [ "2014" ] ] }, "page" : "103-110", "publisher" : "Korea Institute of Oriental Medicine", "title" : "Acupuncture in Australia: regulation, education, practice, and research", "type" : "article-journal", "volume" : "3" }, "uris" : [ "http://www.mendeley.com/documents/?uuid=facedfae-02e2-4bc6-a25e-282332ae5487" ] }, { "id" : "ITEM-4", "itemData" : { "DOI" : "10.1016/j.legalmed.2014.11.001", "ISBN" : "1344-6223", "ISSN" : "18734162", "PMID" : "25465674", "abstract" : "Acupuncture is one of the most popular oriental medical techniques in China, Korea and Japan. This technique is also popular as alternative therapy in the Western World. Serious adverse events are rare following acupuncture, and fatal cases have been rarely reported. A male in his late forties died right after acupuncture treatment. A medico-legal autopsy disclosed severe haemorrhaging around the right vagus nerve in the neck. Other organs and laboratory data showed no significant findings. Thus, it was determined that the man could have died from severe vagal bradycardia and/or arrhythmia resulting from vagus nerve stimulation following acupuncture. To the best of our knowledge, this is the first report of a death due to vagus nerve injury after acupuncture.", "author" : [ { "dropping-particle" : "", "family" : "Watanabe", "given" : "Mayumi", "non-dropping-particle" : "", "parse-names" : false, "suffix" : "" }, { "dropping-particle" : "", "family" : "Unuma", "given" : "Kana", "non-dropping-particle" : "", "parse-names" : false, "suffix" : "" }, { "dropping-particle" : "", "family" : "Fujii", "given" : "Yusuke", "non-dropping-particle" : "", "parse-names" : false, "suffix" : "" }, { "dropping-particle" : "", "family" : "Noritake", "given" : "Kanako", "non-dropping-particle" : "", "parse-names" : false, "suffix" : "" }, { "dropping-particle" : "", "family" : "Uemura", "given" : "Koichi", "non-dropping-particle" : "", "parse-names" : false, "suffix" : "" } ], "container-title" : "Legal Medicine", "id" : "ITEM-4", "issue" : "2", "issued" : { "date-parts" : [ [ "2015" ] ] }, "page" : "120-122", "publisher" : "Elsevier Ireland Ltd", "title" : "An autopsy case of vagus nerve stimulation following acupuncture", "type" : "article-journal", "volume" : "17" }, "uris" : [ "http://www.mendeley.com/documents/?uuid=cfbb3829-3359-42fa-bec7-15fe745e99e3" ] }, { "id" : "ITEM-5", "itemData" : { "DOI" : "10.1016/S1344-6223(03)00052-X", "ISSN" : "13446223", "abstract" : "Acupuncture is one of the most popular complementary therapies in the world. Pneumothorax due to perforation of the lungs by needle insertion is one of the most common and serious complications of acupuncture treatment. Although there have been several case studies of pneumothorax induced by acupuncture, as far as we know there have been no reports on the pathological findings of autopsy cases. In this report, we describe the pathological findings of an autopsy case of bilateral tension pneumothorax after acupuncture. The patient suffered dyspnea and chest pain soon the completion of an acupuncture treatment, and died 90 min later. Several ecchymoses were macroscopically observed on the parietal pleura in the left and right thoracic cavity, suggesting that needles were inserted into the thoracic cavity and that the lungs were perforated. The many black spots we observed on the parietal pleura along the vertebral column microscopically consisted of a number of dust-like black pigments and macrophages containing these pigments. These spots seemed to have appeared because of the previous insertion of needles. ?? 2003 Elsevier Ireland Ltd. All rights reserved.", "author" : [ { "dropping-particle" : "", "family" : "Iwadate", "given" : "Kimiharu", "non-dropping-particle" : "", "parse-names" : false, "suffix" : "" }, { "dropping-particle" : "", "family" : "Ito", "given" : "Haruo", "non-dropping-particle" : "", "parse-names" : false, "suffix" : "" }, { "dropping-particle" : "", "family" : "Katsumura", "given" : "Seiko", "non-dropping-particle" : "", "parse-names" : false, "suffix" : "" }, { "dropping-particle" : "", "family" : "Matsuyama", "given" : "Nagahisa", "non-dropping-particle" : "", "parse-names" : false, "suffix" : "" }, { "dropping-particle" : "", "family" : "Sato", "given" : "Keita", "non-dropping-particle" : "", "parse-names" : false, "suffix" : "" }, { "dropping-particle" : "", "family" : "Yonemura", "given" : "Isamu", "non-dropping-particle" : "", "parse-names" : false, "suffix" : "" }, { "dropping-particle" : "", "family" : "Ito", "given" : "Yohko", "non-dropping-particle" : "", "parse-names" : false, "suffix" : "" } ], "container-title" : "Legal Medicine", "id" : "ITEM-5", "issue" : "3", "issued" : { "date-parts" : [ [ "2003" ] ] }, "page" : "170-174", "title" : "An autopsy case of bilateral tension pneumothorax after acupuncture", "type" : "article-journal", "volume" : "5" }, "uris" : [ "http://www.mendeley.com/documents/?uuid=bb183be4-143a-4104-aa49-ff48b287474f" ] }, { "id" : "ITEM-6", "itemData" : { "DOI" : "10.1016/j.forsciint.2017.04.018", "ISSN" : "18726283", "PMID" : "28502713", "abstract" : "Acupuncture is an alternative medical therapy and widely practiced in Northeast Asia. Although it is known as a safe procedure, complications including infection, pneumothorax, hemorrhage, and cardiac tamponade have been reported. The authors present a rare case of fatal acute peritonitis due to penetration of acupuncture needles directly into the abdominal and pelvic cavity. The victim was a 55-year-old woman who had a recent history of chemo-radiotherapy due to breast cancer. She was collapsed three days after receiving acupuncture. She had symptoms of fever and chilling sensation, general myalgia, and vomiting during three days. The autopsy revealed several needle marks in the lower abdomen and 180\u00a0ml of bloody exudate in the abdominal cavity. There was no visible intestinal perforation, but hemorrhagic foci in the mesentery and paracolic area of sigmoid colon were noted. The deepest portion was 13.5\u00a0cm from the needle marks on the abdominal skin. The practitioner had not a Chinese medical license. He was accused of illegal medical practice and manslaughter. Acute peritonitis associated with acupuncture might be caused by inadequate sterilization of skin and needle itself and/or direct mesentery injury.", "author" : [ { "dropping-particle" : "", "family" : "Kim", "given" : "Dong Ja", "non-dropping-particle" : "", "parse-names" : false, "suffix" : "" }, { "dropping-particle" : "", "family" : "Lee", "given" : "Sang Han", "non-dropping-particle" : "", "parse-names" : false, "suffix" : "" } ], "container-title" : "Forensic Science International", "id" : "ITEM-6", "issued" : { "date-parts" : [ [ "2017" ] ] }, "page" : "e13-e15", "publisher" : "Elsevier Ireland Ltd", "title" : "An autopsy case of fatal acute peritonitis complicated by illegal acupuncture therapy", "type" : "article-journal", "volume" : "276" }, "uris" : [ "http://www.mendeley.com/documents/?uuid=16c97672-0b71-462e-aa5b-eed4a48c5b26" ] }, { "id" : "ITEM-7", "itemData" : { "DOI" : "10.1016/j.wneu.2016.08.090", "ISSN" : "18788769", "PMID" : "27591101", "abstract" : "Background Several injuries in the cervical region as complications of acupuncture have been previously reported in the literature, including cord and medulla oblongata injuries, subdural empyema, and cervical hematoma. Spinal cord subdural hematoma is a rare condition mainly associated with coagulopathy, trauma, and iatrogenic procedures. We herein report an acute cervical subdural hematoma after cervical acupuncture for neck and shoulder pain. Case Description A 74-year-old woman presented with progressive quadriparesis and sensory deficit after receiving acupuncture in the neck and shoulder. Magnetic resonance imaging of the cervical spine showed a subdural lesion that was a hyperintense mass in the T1-weighted and hypointense in T2-weighted images at the C4-C6 level, which proved to be an early subacute subdural hematoma. After surgical evacuation of the hematoma, the patient had significant neurologic improvement. Conclusions Although rare, cervical spinal cord hematomas are disastrous complications of cervical acupuncture. These procedures should be performed under direct observation of trained physicians with appropriate knowledge of cervical anatomy to avoid these complications.", "author" : [ { "dropping-particle" : "", "family" : "Eghbal", "given" : "Keyvan", "non-dropping-particle" : "", "parse-names" : false, "suffix" : "" }, { "dropping-particle" : "", "family" : "Ghaffarpasand", "given" : "Fariborz", "non-dropping-particle" : "", "parse-names" : false, "suffix" : "" } ], "container-title" : "World Neurosurgery", "id" : "ITEM-7", "issued" : { "date-parts" : [ [ "2016" ] ] }, "page" : "616", "publisher" : "Elsevier Ltd", "title" : "An Acute Cervical Subdural Hematoma as the Complication of Acupuncture: Case Report and Literature Review", "type" : "article-journal", "volume" : "95" }, "uris" : [ "http://www.mendeley.com/documents/?uuid=6322938f-728e-4844-b252-cc7664e4cea9" ] }, { "id" : "ITEM-8", "itemData" : { "DOI" : "10.1016/S1003-5257(17)30046-6", "ISSN" : "10035257", "author" : [ { "dropping-particle" : "", "family" : "ZHANG", "given" : "Kuo", "non-dropping-particle" : "", "parse-names" : false, "suffix" : "" }, { "dropping-particle" : "", "family" : "LIU", "given" : "Yang-yang", "non-dropping-particle" : "", "parse-names" : false, "suffix" : "" }, { "dropping-particle" : "", "family" : "CHEN", "given" : "Bo", "non-dropping-particle" : "", "parse-names" : false, "suffix" : "" }, { "dropping-particle" : "", "family" : "XU", "given" : "Yuan", "non-dropping-particle" : "", "parse-names" : false, "suffix" : "" } ], "container-title" : "World Journal of Acupuncture - Moxibustion", "id" : "ITEM-8", "issue" : "1", "issued" : { "date-parts" : [ [ "2016" ] ] }, "page" : "34-41", "title" : "Origin and development of acupuncture manipulation", "type" : "article-journal", "volume" : "26" }, "uris" : [ "http://www.mendeley.com/documents/?uuid=60a150e9-3270-425c-b108-60c5ae30df5c" ] }, { "id" : "ITEM-9", "itemData" : { "DOI" : "10.1016/j.arthe.2016.12.001", "ISSN" : "22117660", "author" : [ { "dropping-particle" : "", "family" : "Lund", "given" : "Irene", "non-dropping-particle" : "", "parse-names" : false, "suffix" : "" }, { "dropping-particle" : "", "family" : "Lundeberg", "given" : "Thomas", "non-dropping-particle" : "", "parse-names" : false, "suffix" : "" } ], "container-title" : "Acupuncture and Related Therapies", "id" : "ITEM-9", "issue" : "4", "issued" : { "date-parts" : [ [ "2016" ] ] }, "page" : "26-30", "publisher" : "Elsevier GmbH", "title" : "Mechanisms of acupuncture", "type" : "article-journal", "volume" : "4" }, "uris" : [ "http://www.mendeley.com/documents/?uuid=b317d764-f5bd-4a59-9533-62fecdb01067" ] }, { "id" : "ITEM-10", "itemData" : { "DOI" : "10.1016/j.dza.2014.05.014", "ISSN" : "14394359", "author" : [ { "dropping-particle" : "", "family" : "Saputra", "given" : "K.", "non-dropping-particle" : "", "parse-names" : false, "suffix" : "" }, { "dropping-particle" : "", "family" : "Sutrisno", "given" : "T. C.", "non-dropping-particle" : "", "parse-names" : false, "suffix" : "" } ], "container-title" : "Deutsche Zeitschrift fur Akupunktur", "id" : "ITEM-10", "issue" : "2", "issued" : { "date-parts" : [ [ "2014" ] ] }, "page" : "34-37", "publisher" : "Deutsche \u00c3\u201erztegesellschaft f\u00c3\u00bcr Akupunktur (D\u00c3\u201eGfA)", "title" : "Medical acupuncture in Indonesia: Indonesian association of medical acupuncture (IAMA)", "type" : "article-journal", "volume" : "57" }, "uris" : [ "http://www.mendeley.com/documents/?uuid=d6880728-aa96-4dd5-af2e-0f15a909ca0c" ] }, { "id" : "ITEM-11", "itemData" : { "DOI" : "10.1016/j.eujim.2014.04.004", "ISBN" : "1876-3820", "ISSN" : "18763839", "abstract" : "Introduction: Anticoagulant and antiplatelet therapy are widely used as preventive measures and treatment for cardiovascular and cerebrovascular diseases. Bleeding is a significant complication of anticoagulant and antiplatelet medications. With the growing use of acupuncture and the potential concomitant use of such medications, studies on the safety of acupuncture are necessary. The objective of this study was to evaluate the safety of acupuncture for patients taking warfarin or antiplatelet medications by comparing the rate of side effects for patients who did not take either of these medications. Methodology: The medical records were searched to identify patients who had received acupuncture treatments at the Department of Korean Internal Medicine of Stroke and Neurological Disorders Center, Kyung Hee University Hospital at Gangdong between November 2010 and April 2012. Prescribed medications were identified from medical records and each patient was allocated to one of three groups based on the medication they were taking. Group A were taking warfarin, group B were taking antiplatelet medications but not warfarin, group C took neither warfarin nor antiplatelet medications and acted as a control group. Potential side effects that could be attributed to of acupuncture were identified. Results: A total of 242 patients and 4891 acupuncture treatments were identified. No patients experienced serious adverse events such as extensive bleeding. The occurrence rate of microbleeding (bleeding which stopped within 30. s) was 4.8% for group A, 0.9% for group B and 3.0% for group C. Conclusion: Acupuncture treatment appears safe even for patients taking warfarin or antiplatelet medications. Large-scale, well-designed studies are needed to confirm these results. This article belongs to the Special Issue: 'IG000019'.", "author" : [ { "dropping-particle" : "", "family" : "Kim", "given" : "Young Jee", "non-dropping-particle" : "", "parse-names" : false, "suffix" : "" }, { "dropping-particle" : "", "family" : "Kim", "given" : "Soo Kyung", "non-dropping-particle" : "", "parse-names" : false, "suffix" : "" }, { "dropping-particle" : "", "family" : "Cho", "given" : "Seung Yeon", "non-dropping-particle" : "", "parse-names" : false, "suffix" : "" }, { "dropping-particle" : "", "family" : "Park", "given" : "Seong Uk", "non-dropping-particle" : "", "parse-names" : false, "suffix" : "" }, { "dropping-particle" : "", "family" : "Jung", "given" : "Woo Sang", "non-dropping-particle" : "", "parse-names" : false, "suffix" : "" }, { "dropping-particle" : "", "family" : "Moon", "given" : "Sang Kwan", "non-dropping-particle" : "", "parse-names" : false, "suffix" : "" }, { "dropping-particle" : "", "family" : "Ko", "given" : "Chang Nam", "non-dropping-particle" : "", "parse-names" : false, "suffix" : "" }, { "dropping-particle" : "", "family" : "Cho", "given" : "Ki Ho", "non-dropping-particle" : "", "parse-names" : false, "suffix" : "" }, { "dropping-particle" : "", "family" : "Kim", "given" : "Sang Beom", "non-dropping-particle" : "", "parse-names" : false, "suffix" : "" }, { "dropping-particle" : "", "family" : "Shin", "given" : "Won Chul", "non-dropping-particle" : "", "parse-names" : false, "suffix" : "" }, { "dropping-particle" : "", "family" : "Park", "given" : "Jung Mi", "non-dropping-particle" : "", "parse-names" : false, "suffix" : "" } ], "container-title" : "European Journal of Integrative Medicine", "id" : "ITEM-11", "issue" : "4", "issued" : { "date-parts" : [ [ "2014" ] ] }, "page" : "492-496", "publisher" : "Elsevier GmbH.", "title" : "Safety of acupuncture treatments for patients taking warfarin or antiplatelet medications: Retrospective chart review study", "type" : "article-journal", "volume" : "6" }, "uris" : [ "http://www.mendeley.com/documents/?uuid=ebc69748-59c0-4791-aad8-b84fa8156b6f" ] } ], "mendeley" : { "formattedCitation" : "[1]\u2013[11]", "plainTextFormattedCitation" : "[1]\u2013[11]", "previouslyFormattedCitation" : "[1]\u2013[11]" }, "properties" : { "noteIndex" : 0 }, "schema" : "https://github.com/citation-style-language/schema/raw/master/csl-citation.json" }</w:instrText>
      </w:r>
      <w:r w:rsidR="00D864F6" w:rsidRPr="007F3A21">
        <w:rPr>
          <w:color w:val="FFFFFF" w:themeColor="background1"/>
        </w:rPr>
        <w:fldChar w:fldCharType="separate"/>
      </w:r>
      <w:r w:rsidR="00D864F6" w:rsidRPr="007F3A21">
        <w:rPr>
          <w:noProof/>
          <w:color w:val="FFFFFF" w:themeColor="background1"/>
        </w:rPr>
        <w:t>[1]–[11]</w:t>
      </w:r>
      <w:r w:rsidR="00D864F6" w:rsidRPr="007F3A21">
        <w:rPr>
          <w:color w:val="FFFFFF" w:themeColor="background1"/>
        </w:rPr>
        <w:fldChar w:fldCharType="end"/>
      </w:r>
    </w:p>
    <w:p w:rsidR="009D0256" w:rsidRDefault="00D864F6" w:rsidP="00E80F3C">
      <w:pPr>
        <w:jc w:val="both"/>
        <w:rPr>
          <w:rFonts w:ascii="Arial"/>
          <w:b/>
          <w:color w:val="BF5A14"/>
          <w:sz w:val="20"/>
        </w:rPr>
      </w:pPr>
      <w:r>
        <w:rPr>
          <w:rFonts w:ascii="Arial"/>
          <w:b/>
          <w:color w:val="BF5A14"/>
          <w:sz w:val="20"/>
        </w:rPr>
        <w:t>Recent Publications</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sz w:val="18"/>
          <w:szCs w:val="18"/>
        </w:rPr>
        <w:fldChar w:fldCharType="begin" w:fldLock="1"/>
      </w:r>
      <w:r w:rsidRPr="00D864F6">
        <w:rPr>
          <w:sz w:val="18"/>
          <w:szCs w:val="18"/>
        </w:rPr>
        <w:instrText xml:space="preserve">ADDIN Mendeley Bibliography CSL_BIBLIOGRAPHY </w:instrText>
      </w:r>
      <w:r w:rsidRPr="00D864F6">
        <w:rPr>
          <w:sz w:val="18"/>
          <w:szCs w:val="18"/>
        </w:rPr>
        <w:fldChar w:fldCharType="separate"/>
      </w:r>
      <w:r w:rsidRPr="00D864F6">
        <w:rPr>
          <w:rFonts w:cs="Times New Roman"/>
          <w:noProof/>
          <w:sz w:val="18"/>
          <w:szCs w:val="18"/>
        </w:rPr>
        <w:t>[1]</w:t>
      </w:r>
      <w:r w:rsidRPr="00D864F6">
        <w:rPr>
          <w:rFonts w:cs="Times New Roman"/>
          <w:noProof/>
          <w:sz w:val="18"/>
          <w:szCs w:val="18"/>
        </w:rPr>
        <w:tab/>
        <w:t xml:space="preserve">B.-J. Wu, “Ten development tendencies and strategies of Acupuncture in the 21 st century,” </w:t>
      </w:r>
      <w:r w:rsidRPr="00D864F6">
        <w:rPr>
          <w:rFonts w:cs="Times New Roman"/>
          <w:i/>
          <w:iCs/>
          <w:noProof/>
          <w:sz w:val="18"/>
          <w:szCs w:val="18"/>
        </w:rPr>
        <w:t>World J. cupuncture moxibustion</w:t>
      </w:r>
      <w:r w:rsidRPr="00D864F6">
        <w:rPr>
          <w:rFonts w:cs="Times New Roman"/>
          <w:noProof/>
          <w:sz w:val="18"/>
          <w:szCs w:val="18"/>
        </w:rPr>
        <w:t>, vol. 26, no. 4, pp. 15–20, 2016.</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[2]</w:t>
      </w:r>
      <w:r w:rsidRPr="00D864F6">
        <w:rPr>
          <w:rFonts w:cs="Times New Roman"/>
          <w:noProof/>
          <w:sz w:val="18"/>
          <w:szCs w:val="18"/>
        </w:rPr>
        <w:tab/>
        <w:t xml:space="preserve">U. Kingdom, C. L. Agency, and T. C. Road, </w:t>
      </w:r>
      <w:r w:rsidRPr="00D864F6">
        <w:rPr>
          <w:rFonts w:cs="Times New Roman"/>
          <w:noProof/>
          <w:sz w:val="18"/>
          <w:szCs w:val="18"/>
        </w:rPr>
        <w:lastRenderedPageBreak/>
        <w:t>“Butterworth-Heinemann An imprint of Elsevier Science Limited Robert Stevenson House Leith Walk Edinburgh EH1 3AF © Anthony Campbell 2001 Campbell , Anthony , 1933 – Acupuncture in practice : beyond points and meridians ISBN 0 7506 5242 X Composition by Ge.”</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[3]</w:t>
      </w:r>
      <w:r w:rsidRPr="00D864F6">
        <w:rPr>
          <w:rFonts w:cs="Times New Roman"/>
          <w:noProof/>
          <w:sz w:val="18"/>
          <w:szCs w:val="18"/>
        </w:rPr>
        <w:tab/>
        <w:t xml:space="preserve">Z. Zheng, “Acupuncture in Australia: regulation, education, practice, and research,” </w:t>
      </w:r>
      <w:r w:rsidRPr="00D864F6">
        <w:rPr>
          <w:rFonts w:cs="Times New Roman"/>
          <w:i/>
          <w:iCs/>
          <w:noProof/>
          <w:sz w:val="18"/>
          <w:szCs w:val="18"/>
        </w:rPr>
        <w:t>Integr. Med. Res.</w:t>
      </w:r>
      <w:r w:rsidRPr="00D864F6">
        <w:rPr>
          <w:rFonts w:cs="Times New Roman"/>
          <w:noProof/>
          <w:sz w:val="18"/>
          <w:szCs w:val="18"/>
        </w:rPr>
        <w:t>, vol. 3, no. 3, pp. 103–110, 2014.</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[4]</w:t>
      </w:r>
      <w:r w:rsidRPr="00D864F6">
        <w:rPr>
          <w:rFonts w:cs="Times New Roman"/>
          <w:noProof/>
          <w:sz w:val="18"/>
          <w:szCs w:val="18"/>
        </w:rPr>
        <w:tab/>
        <w:t xml:space="preserve">M. Watanabe, K. Unuma, Y. Fujii, K. Noritake, and K. Uemura, “An autopsy case of vagus nerve stimulation following acupuncture,” </w:t>
      </w:r>
      <w:r w:rsidRPr="00D864F6">
        <w:rPr>
          <w:rFonts w:cs="Times New Roman"/>
          <w:i/>
          <w:iCs/>
          <w:noProof/>
          <w:sz w:val="18"/>
          <w:szCs w:val="18"/>
        </w:rPr>
        <w:t>Leg. Med.</w:t>
      </w:r>
      <w:r w:rsidRPr="00D864F6">
        <w:rPr>
          <w:rFonts w:cs="Times New Roman"/>
          <w:noProof/>
          <w:sz w:val="18"/>
          <w:szCs w:val="18"/>
        </w:rPr>
        <w:t>, vol. 17, no. 2, pp. 120–122, 2015.</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[5]</w:t>
      </w:r>
      <w:r w:rsidRPr="00D864F6">
        <w:rPr>
          <w:rFonts w:cs="Times New Roman"/>
          <w:noProof/>
          <w:sz w:val="18"/>
          <w:szCs w:val="18"/>
        </w:rPr>
        <w:tab/>
        <w:t xml:space="preserve">K. Iwadate </w:t>
      </w:r>
      <w:r w:rsidRPr="00D864F6">
        <w:rPr>
          <w:rFonts w:cs="Times New Roman"/>
          <w:i/>
          <w:iCs/>
          <w:noProof/>
          <w:sz w:val="18"/>
          <w:szCs w:val="18"/>
        </w:rPr>
        <w:t>et al.</w:t>
      </w:r>
      <w:r w:rsidRPr="00D864F6">
        <w:rPr>
          <w:rFonts w:cs="Times New Roman"/>
          <w:noProof/>
          <w:sz w:val="18"/>
          <w:szCs w:val="18"/>
        </w:rPr>
        <w:t xml:space="preserve">, “An autopsy case of bilateral tension pneumothorax after acupuncture,” </w:t>
      </w:r>
      <w:r w:rsidRPr="00D864F6">
        <w:rPr>
          <w:rFonts w:cs="Times New Roman"/>
          <w:i/>
          <w:iCs/>
          <w:noProof/>
          <w:sz w:val="18"/>
          <w:szCs w:val="18"/>
        </w:rPr>
        <w:t>Leg. Med.</w:t>
      </w:r>
      <w:r w:rsidRPr="00D864F6">
        <w:rPr>
          <w:rFonts w:cs="Times New Roman"/>
          <w:noProof/>
          <w:sz w:val="18"/>
          <w:szCs w:val="18"/>
        </w:rPr>
        <w:t>, vol. 5, no. 3, pp. 170–174, 2003.</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[6]</w:t>
      </w:r>
      <w:r w:rsidRPr="00D864F6">
        <w:rPr>
          <w:rFonts w:cs="Times New Roman"/>
          <w:noProof/>
          <w:sz w:val="18"/>
          <w:szCs w:val="18"/>
        </w:rPr>
        <w:tab/>
        <w:t xml:space="preserve">D. J. Kim and S. H. Lee, “An autopsy case of fatal acute peritonitis complicated by illegal acupuncture therapy,” </w:t>
      </w:r>
      <w:r w:rsidRPr="00D864F6">
        <w:rPr>
          <w:rFonts w:cs="Times New Roman"/>
          <w:i/>
          <w:iCs/>
          <w:noProof/>
          <w:sz w:val="18"/>
          <w:szCs w:val="18"/>
        </w:rPr>
        <w:t>Forensic Sci. Int.</w:t>
      </w:r>
      <w:r w:rsidRPr="00D864F6">
        <w:rPr>
          <w:rFonts w:cs="Times New Roman"/>
          <w:noProof/>
          <w:sz w:val="18"/>
          <w:szCs w:val="18"/>
        </w:rPr>
        <w:t>, vol. 276, pp. e13–e15, 2017.</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[7]</w:t>
      </w:r>
      <w:r w:rsidRPr="00D864F6">
        <w:rPr>
          <w:rFonts w:cs="Times New Roman"/>
          <w:noProof/>
          <w:sz w:val="18"/>
          <w:szCs w:val="18"/>
        </w:rPr>
        <w:tab/>
        <w:t xml:space="preserve">K. Eghbal and F. Ghaffarpasand, “An Acute Cervical Subdural Hematoma as the Complication of Acupuncture: Case Report and Literature Review,” </w:t>
      </w:r>
      <w:r w:rsidRPr="00D864F6">
        <w:rPr>
          <w:rFonts w:cs="Times New Roman"/>
          <w:i/>
          <w:iCs/>
          <w:noProof/>
          <w:sz w:val="18"/>
          <w:szCs w:val="18"/>
        </w:rPr>
        <w:t>World Neurosurg.</w:t>
      </w:r>
      <w:r w:rsidRPr="00D864F6">
        <w:rPr>
          <w:rFonts w:cs="Times New Roman"/>
          <w:noProof/>
          <w:sz w:val="18"/>
          <w:szCs w:val="18"/>
        </w:rPr>
        <w:t>, vol. 95, p. 616, 2016.</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[8]</w:t>
      </w:r>
      <w:r w:rsidRPr="00D864F6">
        <w:rPr>
          <w:rFonts w:cs="Times New Roman"/>
          <w:noProof/>
          <w:sz w:val="18"/>
          <w:szCs w:val="18"/>
        </w:rPr>
        <w:tab/>
        <w:t xml:space="preserve">K. ZHANG, Y. LIU, B. CHEN, and Y. XU, “Origin and development of acupuncture manipulation,” </w:t>
      </w:r>
      <w:r w:rsidRPr="00D864F6">
        <w:rPr>
          <w:rFonts w:cs="Times New Roman"/>
          <w:i/>
          <w:iCs/>
          <w:noProof/>
          <w:sz w:val="18"/>
          <w:szCs w:val="18"/>
        </w:rPr>
        <w:t>World J. Acupunct. - Moxibustion</w:t>
      </w:r>
      <w:r w:rsidRPr="00D864F6">
        <w:rPr>
          <w:rFonts w:cs="Times New Roman"/>
          <w:noProof/>
          <w:sz w:val="18"/>
          <w:szCs w:val="18"/>
        </w:rPr>
        <w:t>, vol. 26, no. 1, pp. 34–41, 2016.</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[9]</w:t>
      </w:r>
      <w:r w:rsidRPr="00D864F6">
        <w:rPr>
          <w:rFonts w:cs="Times New Roman"/>
          <w:noProof/>
          <w:sz w:val="18"/>
          <w:szCs w:val="18"/>
        </w:rPr>
        <w:tab/>
        <w:t xml:space="preserve">I. Lund and T. Lundeberg, “Mechanisms of acupuncture,” </w:t>
      </w:r>
      <w:r w:rsidRPr="00D864F6">
        <w:rPr>
          <w:rFonts w:cs="Times New Roman"/>
          <w:i/>
          <w:iCs/>
          <w:noProof/>
          <w:sz w:val="18"/>
          <w:szCs w:val="18"/>
        </w:rPr>
        <w:t>Acupunct. Relat. Ther.</w:t>
      </w:r>
      <w:r w:rsidRPr="00D864F6">
        <w:rPr>
          <w:rFonts w:cs="Times New Roman"/>
          <w:noProof/>
          <w:sz w:val="18"/>
          <w:szCs w:val="18"/>
        </w:rPr>
        <w:t>, vol. 4, no. 4, pp. 26–30, 2016.</w:t>
      </w:r>
    </w:p>
    <w:p w:rsidR="00D864F6" w:rsidRPr="00D864F6" w:rsidRDefault="00D864F6" w:rsidP="00D864F6">
      <w:pPr>
        <w:widowControl w:val="0"/>
        <w:autoSpaceDE w:val="0"/>
        <w:autoSpaceDN w:val="0"/>
        <w:adjustRightInd w:val="0"/>
        <w:spacing w:after="0" w:line="240" w:lineRule="auto"/>
        <w:ind w:left="640" w:hanging="640"/>
        <w:rPr>
          <w:rFonts w:cs="Times New Roman"/>
          <w:noProof/>
          <w:sz w:val="18"/>
          <w:szCs w:val="18"/>
        </w:rPr>
      </w:pPr>
      <w:r w:rsidRPr="00D864F6">
        <w:rPr>
          <w:rFonts w:cs="Times New Roman"/>
          <w:noProof/>
          <w:sz w:val="18"/>
          <w:szCs w:val="18"/>
        </w:rPr>
        <w:t>[10]</w:t>
      </w:r>
      <w:r w:rsidRPr="00D864F6">
        <w:rPr>
          <w:rFonts w:cs="Times New Roman"/>
          <w:noProof/>
          <w:sz w:val="18"/>
          <w:szCs w:val="18"/>
        </w:rPr>
        <w:tab/>
        <w:t xml:space="preserve">K. Saputra and T. C. Sutrisno, “Medical acupuncture in Indonesia: Indonesian association of medical acupuncture (IAMA),” </w:t>
      </w:r>
      <w:r w:rsidRPr="00D864F6">
        <w:rPr>
          <w:rFonts w:cs="Times New Roman"/>
          <w:i/>
          <w:iCs/>
          <w:noProof/>
          <w:sz w:val="18"/>
          <w:szCs w:val="18"/>
        </w:rPr>
        <w:t>Dtsch. Zeitschrift fur Akupunkt.</w:t>
      </w:r>
      <w:r w:rsidRPr="00D864F6">
        <w:rPr>
          <w:rFonts w:cs="Times New Roman"/>
          <w:noProof/>
          <w:sz w:val="18"/>
          <w:szCs w:val="18"/>
        </w:rPr>
        <w:t>, vol. 57, no. 2, pp. 34–37, 2014.</w:t>
      </w:r>
    </w:p>
    <w:p w:rsidR="00D864F6" w:rsidRPr="00D864F6" w:rsidRDefault="00D864F6" w:rsidP="00D864F6">
      <w:pPr>
        <w:widowControl w:val="0"/>
        <w:autoSpaceDE w:val="0"/>
        <w:autoSpaceDN w:val="0"/>
        <w:adjustRightInd w:val="0"/>
        <w:spacing w:after="0" w:line="240" w:lineRule="auto"/>
        <w:ind w:left="640" w:hanging="640"/>
        <w:rPr>
          <w:noProof/>
          <w:sz w:val="18"/>
          <w:szCs w:val="18"/>
        </w:rPr>
      </w:pPr>
      <w:r w:rsidRPr="00D864F6">
        <w:rPr>
          <w:rFonts w:cs="Times New Roman"/>
          <w:noProof/>
          <w:sz w:val="18"/>
          <w:szCs w:val="18"/>
        </w:rPr>
        <w:t>[11]</w:t>
      </w:r>
      <w:r w:rsidRPr="00D864F6">
        <w:rPr>
          <w:rFonts w:cs="Times New Roman"/>
          <w:noProof/>
          <w:sz w:val="18"/>
          <w:szCs w:val="18"/>
        </w:rPr>
        <w:tab/>
        <w:t xml:space="preserve">Y. J. Kim </w:t>
      </w:r>
      <w:r w:rsidRPr="00D864F6">
        <w:rPr>
          <w:rFonts w:cs="Times New Roman"/>
          <w:i/>
          <w:iCs/>
          <w:noProof/>
          <w:sz w:val="18"/>
          <w:szCs w:val="18"/>
        </w:rPr>
        <w:t>et al.</w:t>
      </w:r>
      <w:r w:rsidRPr="00D864F6">
        <w:rPr>
          <w:rFonts w:cs="Times New Roman"/>
          <w:noProof/>
          <w:sz w:val="18"/>
          <w:szCs w:val="18"/>
        </w:rPr>
        <w:t xml:space="preserve">, “Safety of acupuncture treatments for patients taking warfarin or antiplatelet medications: Retrospective chart review study,” </w:t>
      </w:r>
      <w:r w:rsidRPr="00D864F6">
        <w:rPr>
          <w:rFonts w:cs="Times New Roman"/>
          <w:i/>
          <w:iCs/>
          <w:noProof/>
          <w:sz w:val="18"/>
          <w:szCs w:val="18"/>
        </w:rPr>
        <w:t>Eur. J. Integr. Med.</w:t>
      </w:r>
      <w:r w:rsidRPr="00D864F6">
        <w:rPr>
          <w:rFonts w:cs="Times New Roman"/>
          <w:noProof/>
          <w:sz w:val="18"/>
          <w:szCs w:val="18"/>
        </w:rPr>
        <w:t>, vol. 6, no. 4, pp. 492–496, 2014.</w:t>
      </w:r>
    </w:p>
    <w:p w:rsidR="00D864F6" w:rsidRPr="00D864F6" w:rsidRDefault="00D864F6" w:rsidP="00D864F6">
      <w:pPr>
        <w:spacing w:after="0"/>
        <w:jc w:val="both"/>
        <w:rPr>
          <w:sz w:val="18"/>
          <w:szCs w:val="18"/>
        </w:rPr>
        <w:sectPr w:rsidR="00D864F6" w:rsidRPr="00D864F6" w:rsidSect="00D864F6">
          <w:type w:val="continuous"/>
          <w:pgSz w:w="12240" w:h="15840"/>
          <w:pgMar w:top="1440" w:right="1440" w:bottom="1440" w:left="1440" w:header="708" w:footer="708" w:gutter="0"/>
          <w:cols w:num="2" w:space="708"/>
          <w:docGrid w:linePitch="360"/>
        </w:sectPr>
      </w:pPr>
      <w:r w:rsidRPr="00D864F6">
        <w:rPr>
          <w:sz w:val="18"/>
          <w:szCs w:val="18"/>
        </w:rPr>
        <w:fldChar w:fldCharType="end"/>
      </w:r>
    </w:p>
    <w:p w:rsidR="00123E50" w:rsidRDefault="00123E50" w:rsidP="00D864F6">
      <w:pPr>
        <w:spacing w:after="0"/>
        <w:jc w:val="both"/>
        <w:rPr>
          <w:sz w:val="18"/>
          <w:szCs w:val="18"/>
        </w:rPr>
      </w:pPr>
      <w:r>
        <w:rPr>
          <w:sz w:val="18"/>
          <w:szCs w:val="18"/>
        </w:rPr>
        <w:lastRenderedPageBreak/>
        <w:t xml:space="preserve">                                      </w:t>
      </w:r>
      <w:r>
        <w:rPr>
          <w:rFonts w:ascii="Calibri"/>
          <w:noProof/>
          <w:sz w:val="4"/>
        </w:rPr>
        <mc:AlternateContent>
          <mc:Choice Requires="wpg">
            <w:drawing>
              <wp:inline distT="0" distB="0" distL="0" distR="0" wp14:anchorId="272521ED" wp14:editId="56933FD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23E50" w:rsidRDefault="00123E50" w:rsidP="00D864F6">
      <w:pPr>
        <w:spacing w:after="0"/>
        <w:jc w:val="both"/>
        <w:rPr>
          <w:sz w:val="18"/>
          <w:szCs w:val="18"/>
        </w:rPr>
      </w:pPr>
      <w:r>
        <w:rPr>
          <w:rFonts w:ascii="Arial"/>
          <w:noProof/>
          <w:color w:val="BF5A14"/>
        </w:rPr>
        <w:drawing>
          <wp:anchor distT="0" distB="0" distL="114300" distR="114300" simplePos="0" relativeHeight="251658240" behindDoc="1" locked="0" layoutInCell="1" allowOverlap="1" wp14:anchorId="2A57B685" wp14:editId="0201D7D9">
            <wp:simplePos x="0" y="0"/>
            <wp:positionH relativeFrom="column">
              <wp:posOffset>-635</wp:posOffset>
            </wp:positionH>
            <wp:positionV relativeFrom="paragraph">
              <wp:posOffset>114935</wp:posOffset>
            </wp:positionV>
            <wp:extent cx="884555" cy="1058545"/>
            <wp:effectExtent l="0" t="0" r="0" b="8255"/>
            <wp:wrapSquare wrapText="bothSides"/>
            <wp:docPr id="1" name="Picture 1" descr="D:\foto bayu\setengah-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oto bayu\setengah-mi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4555" cy="1058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E50" w:rsidRDefault="00123E50" w:rsidP="00D864F6">
      <w:pPr>
        <w:spacing w:after="0"/>
        <w:jc w:val="both"/>
        <w:rPr>
          <w:sz w:val="18"/>
          <w:szCs w:val="18"/>
        </w:rPr>
      </w:pPr>
    </w:p>
    <w:p w:rsidR="00D864F6" w:rsidRDefault="00123E50" w:rsidP="00123E50">
      <w:pPr>
        <w:spacing w:after="0"/>
        <w:jc w:val="both"/>
        <w:rPr>
          <w:sz w:val="18"/>
          <w:szCs w:val="18"/>
        </w:rPr>
      </w:pPr>
      <w:r w:rsidRPr="00123E50">
        <w:rPr>
          <w:rFonts w:ascii="Arial"/>
          <w:color w:val="BF5A14"/>
        </w:rPr>
        <w:t xml:space="preserve"> </w:t>
      </w:r>
      <w:r>
        <w:rPr>
          <w:rFonts w:ascii="Arial"/>
          <w:color w:val="BF5A14"/>
        </w:rPr>
        <w:t>Biography</w:t>
      </w:r>
      <w:r>
        <w:rPr>
          <w:sz w:val="18"/>
          <w:szCs w:val="18"/>
        </w:rPr>
        <w:t xml:space="preserve"> </w:t>
      </w:r>
    </w:p>
    <w:p w:rsidR="00123E50" w:rsidRDefault="00123E50" w:rsidP="00123E50">
      <w:pPr>
        <w:spacing w:after="0"/>
        <w:jc w:val="both"/>
        <w:rPr>
          <w:rFonts w:ascii="Arial" w:hAnsi="Arial" w:cs="Arial"/>
          <w:sz w:val="16"/>
          <w:szCs w:val="16"/>
        </w:rPr>
      </w:pPr>
      <w:r w:rsidRPr="00123E50">
        <w:rPr>
          <w:rFonts w:ascii="Arial" w:hAnsi="Arial" w:cs="Arial"/>
          <w:sz w:val="16"/>
          <w:szCs w:val="16"/>
        </w:rPr>
        <w:t>Bayu Yoni setyo nugroho is an acupuncture diploma from a state institution in Indonesia. started his career as an acupuncture practitioner for 2 years then went on to study in occupational safety and health. Have a dream to help acupuncturists in improving knowledge in safety and health in acupuncture.</w:t>
      </w:r>
    </w:p>
    <w:p w:rsidR="00123E50" w:rsidRDefault="00123E50" w:rsidP="00123E50">
      <w:pPr>
        <w:spacing w:after="0"/>
        <w:jc w:val="both"/>
        <w:rPr>
          <w:rFonts w:ascii="Arial" w:hAnsi="Arial" w:cs="Arial"/>
          <w:sz w:val="16"/>
          <w:szCs w:val="16"/>
        </w:rPr>
      </w:pPr>
    </w:p>
    <w:p w:rsidR="00123E50" w:rsidRDefault="00123E50" w:rsidP="00123E50">
      <w:pPr>
        <w:spacing w:after="0"/>
        <w:jc w:val="center"/>
        <w:rPr>
          <w:rFonts w:ascii="Arial" w:hAnsi="Arial" w:cs="Arial"/>
          <w:sz w:val="16"/>
          <w:szCs w:val="16"/>
        </w:rPr>
      </w:pPr>
      <w:r>
        <w:rPr>
          <w:rFonts w:ascii="Arial" w:hAnsi="Arial" w:cs="Arial"/>
          <w:sz w:val="16"/>
          <w:szCs w:val="16"/>
        </w:rPr>
        <w:lastRenderedPageBreak/>
        <w:t xml:space="preserve">Email : </w:t>
      </w:r>
      <w:hyperlink r:id="rId7" w:history="1">
        <w:r w:rsidRPr="00EF7BA6">
          <w:rPr>
            <w:rStyle w:val="Hyperlink"/>
            <w:rFonts w:ascii="Arial" w:hAnsi="Arial" w:cs="Arial"/>
            <w:sz w:val="16"/>
            <w:szCs w:val="16"/>
          </w:rPr>
          <w:t>bayuyoni@gmail.com</w:t>
        </w:r>
      </w:hyperlink>
    </w:p>
    <w:p w:rsidR="00123E50" w:rsidRPr="00123E50" w:rsidRDefault="00123E50" w:rsidP="00123E50">
      <w:pPr>
        <w:spacing w:after="0"/>
        <w:jc w:val="center"/>
        <w:rPr>
          <w:rFonts w:ascii="Arial" w:hAnsi="Arial" w:cs="Arial"/>
          <w:sz w:val="16"/>
          <w:szCs w:val="16"/>
        </w:rPr>
      </w:pPr>
    </w:p>
    <w:sectPr w:rsidR="00123E50" w:rsidRPr="00123E50" w:rsidSect="00D864F6">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F3C"/>
    <w:rsid w:val="00123E50"/>
    <w:rsid w:val="00125401"/>
    <w:rsid w:val="001474F3"/>
    <w:rsid w:val="002F456B"/>
    <w:rsid w:val="004F1F91"/>
    <w:rsid w:val="007F3A21"/>
    <w:rsid w:val="008248AA"/>
    <w:rsid w:val="009763E6"/>
    <w:rsid w:val="009D0256"/>
    <w:rsid w:val="00BA5A57"/>
    <w:rsid w:val="00D864F6"/>
    <w:rsid w:val="00E1430B"/>
    <w:rsid w:val="00E34A4C"/>
    <w:rsid w:val="00E80F3C"/>
    <w:rsid w:val="00F71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E50"/>
    <w:rPr>
      <w:rFonts w:ascii="Tahoma" w:hAnsi="Tahoma" w:cs="Tahoma"/>
      <w:sz w:val="16"/>
      <w:szCs w:val="16"/>
    </w:rPr>
  </w:style>
  <w:style w:type="character" w:styleId="Hyperlink">
    <w:name w:val="Hyperlink"/>
    <w:basedOn w:val="DefaultParagraphFont"/>
    <w:uiPriority w:val="99"/>
    <w:unhideWhenUsed/>
    <w:rsid w:val="00123E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E50"/>
    <w:rPr>
      <w:rFonts w:ascii="Tahoma" w:hAnsi="Tahoma" w:cs="Tahoma"/>
      <w:sz w:val="16"/>
      <w:szCs w:val="16"/>
    </w:rPr>
  </w:style>
  <w:style w:type="character" w:styleId="Hyperlink">
    <w:name w:val="Hyperlink"/>
    <w:basedOn w:val="DefaultParagraphFont"/>
    <w:uiPriority w:val="99"/>
    <w:unhideWhenUsed/>
    <w:rsid w:val="00123E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bayuyoni@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file>

<file path=customXml/itemProps1.xml><?xml version="1.0" encoding="utf-8"?>
<ds:datastoreItem xmlns:ds="http://schemas.openxmlformats.org/officeDocument/2006/customXml" ds:itemID="{1D6C6447-A4C5-441B-83DE-E7895BDE1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3625</Words>
  <Characters>20669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8.1 Pro</dc:creator>
  <cp:lastModifiedBy>Windows 8.1 Pro</cp:lastModifiedBy>
  <cp:revision>5</cp:revision>
  <dcterms:created xsi:type="dcterms:W3CDTF">2017-10-28T15:37:00Z</dcterms:created>
  <dcterms:modified xsi:type="dcterms:W3CDTF">2017-10-28T17:41:00Z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e0135bc4-f6a8-3674-911b-960633665c84</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