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F57" w:rsidRPr="00A66F57" w:rsidRDefault="00A66F57" w:rsidP="004A2516">
      <w:pPr>
        <w:pStyle w:val="Textoindependiente"/>
        <w:spacing w:before="73"/>
        <w:ind w:right="5987"/>
        <w:jc w:val="both"/>
        <w:rPr>
          <w:rFonts w:ascii="Minion Pro" w:eastAsia="Minion Pro" w:hAnsi="Minion Pro" w:cs="Minion Pro"/>
          <w:b/>
          <w:bCs/>
          <w:color w:val="337AB7"/>
          <w:sz w:val="32"/>
          <w:szCs w:val="32"/>
        </w:rPr>
      </w:pPr>
      <w:r w:rsidRPr="00A66F57">
        <w:rPr>
          <w:rFonts w:ascii="Minion Pro" w:eastAsia="Minion Pro" w:hAnsi="Minion Pro" w:cs="Minion Pro"/>
          <w:b/>
          <w:bCs/>
          <w:color w:val="337AB7"/>
          <w:sz w:val="32"/>
          <w:szCs w:val="32"/>
        </w:rPr>
        <w:t xml:space="preserve">Evaluation of the effect </w:t>
      </w:r>
      <w:proofErr w:type="gramStart"/>
      <w:r w:rsidRPr="00A66F57">
        <w:rPr>
          <w:rFonts w:ascii="Minion Pro" w:eastAsia="Minion Pro" w:hAnsi="Minion Pro" w:cs="Minion Pro"/>
          <w:b/>
          <w:bCs/>
          <w:color w:val="337AB7"/>
          <w:sz w:val="32"/>
          <w:szCs w:val="32"/>
        </w:rPr>
        <w:t>of</w:t>
      </w:r>
      <w:r>
        <w:rPr>
          <w:rFonts w:ascii="Minion Pro" w:eastAsia="Minion Pro" w:hAnsi="Minion Pro" w:cs="Minion Pro"/>
          <w:b/>
          <w:bCs/>
          <w:color w:val="337AB7"/>
          <w:sz w:val="32"/>
          <w:szCs w:val="32"/>
        </w:rPr>
        <w:t xml:space="preserve"> </w:t>
      </w:r>
      <w:r w:rsidRPr="00A66F57">
        <w:rPr>
          <w:rFonts w:ascii="Minion Pro" w:eastAsia="Minion Pro" w:hAnsi="Minion Pro" w:cs="Minion Pro"/>
          <w:b/>
          <w:bCs/>
          <w:color w:val="337AB7"/>
          <w:sz w:val="32"/>
          <w:szCs w:val="32"/>
        </w:rPr>
        <w:t xml:space="preserve"> microwave</w:t>
      </w:r>
      <w:proofErr w:type="gramEnd"/>
      <w:r w:rsidRPr="00A66F57">
        <w:rPr>
          <w:rFonts w:ascii="Minion Pro" w:eastAsia="Minion Pro" w:hAnsi="Minion Pro" w:cs="Minion Pro"/>
          <w:b/>
          <w:bCs/>
          <w:color w:val="337AB7"/>
          <w:sz w:val="32"/>
          <w:szCs w:val="32"/>
        </w:rPr>
        <w:t xml:space="preserve"> irradiation on reaction, separation by aqueous two-phase system (ATPS) and sim</w:t>
      </w:r>
      <w:r w:rsidR="00662D8D">
        <w:rPr>
          <w:rFonts w:ascii="Minion Pro" w:eastAsia="Minion Pro" w:hAnsi="Minion Pro" w:cs="Minion Pro"/>
          <w:b/>
          <w:bCs/>
          <w:color w:val="337AB7"/>
          <w:sz w:val="32"/>
          <w:szCs w:val="32"/>
        </w:rPr>
        <w:t>ultaneous reaction-separation of</w:t>
      </w:r>
      <w:r w:rsidRPr="00A66F57">
        <w:rPr>
          <w:rFonts w:ascii="Minion Pro" w:eastAsia="Minion Pro" w:hAnsi="Minion Pro" w:cs="Minion Pro"/>
          <w:b/>
          <w:bCs/>
          <w:color w:val="337AB7"/>
          <w:sz w:val="32"/>
          <w:szCs w:val="32"/>
        </w:rPr>
        <w:t xml:space="preserve"> </w:t>
      </w:r>
      <w:proofErr w:type="spellStart"/>
      <w:r w:rsidRPr="00A66F57">
        <w:rPr>
          <w:rFonts w:ascii="Minion Pro" w:eastAsia="Minion Pro" w:hAnsi="Minion Pro" w:cs="Minion Pro"/>
          <w:b/>
          <w:bCs/>
          <w:color w:val="337AB7"/>
          <w:sz w:val="32"/>
          <w:szCs w:val="32"/>
        </w:rPr>
        <w:t>galactooligosaccharides</w:t>
      </w:r>
      <w:proofErr w:type="spellEnd"/>
      <w:r w:rsidRPr="00A66F57">
        <w:rPr>
          <w:rFonts w:ascii="Minion Pro" w:eastAsia="Minion Pro" w:hAnsi="Minion Pro" w:cs="Minion Pro"/>
          <w:b/>
          <w:bCs/>
          <w:color w:val="337AB7"/>
          <w:sz w:val="32"/>
          <w:szCs w:val="32"/>
        </w:rPr>
        <w:t xml:space="preserve"> (GOS) production.</w:t>
      </w:r>
    </w:p>
    <w:p w:rsidR="00E7370A" w:rsidRDefault="00A66F57" w:rsidP="00E7370A">
      <w:pPr>
        <w:pStyle w:val="Textoindependiente"/>
        <w:spacing w:before="73" w:line="198" w:lineRule="exact"/>
        <w:ind w:right="5987"/>
        <w:rPr>
          <w:rFonts w:ascii="Arial"/>
          <w:lang w:val="es-ES"/>
        </w:rPr>
      </w:pPr>
      <w:r w:rsidRPr="00662D8D">
        <w:rPr>
          <w:rFonts w:ascii="Arial"/>
          <w:lang w:val="es-ES"/>
        </w:rPr>
        <w:t>Castro G.</w:t>
      </w:r>
      <w:r w:rsidR="005973B9" w:rsidRPr="00662D8D">
        <w:rPr>
          <w:rFonts w:ascii="Arial"/>
          <w:lang w:val="es-ES"/>
        </w:rPr>
        <w:t>,</w:t>
      </w:r>
      <w:r w:rsidRPr="00662D8D">
        <w:rPr>
          <w:rFonts w:ascii="Arial"/>
          <w:lang w:val="es-ES"/>
        </w:rPr>
        <w:t xml:space="preserve"> Serrato</w:t>
      </w:r>
      <w:r w:rsidR="00E7370A">
        <w:rPr>
          <w:rFonts w:ascii="Arial"/>
          <w:lang w:val="es-ES"/>
        </w:rPr>
        <w:t xml:space="preserve"> </w:t>
      </w:r>
      <w:r w:rsidRPr="00662D8D">
        <w:rPr>
          <w:rFonts w:ascii="Arial"/>
          <w:lang w:val="es-ES"/>
        </w:rPr>
        <w:t xml:space="preserve">J. </w:t>
      </w:r>
    </w:p>
    <w:p w:rsidR="005973B9" w:rsidRPr="00E7370A" w:rsidRDefault="00A66F57" w:rsidP="00E7370A">
      <w:pPr>
        <w:pStyle w:val="Textoindependiente"/>
        <w:spacing w:before="73" w:line="198" w:lineRule="exact"/>
        <w:ind w:right="5987"/>
        <w:rPr>
          <w:rFonts w:ascii="Arial" w:hAnsi="Arial" w:cs="Arial"/>
          <w:lang w:val="es-ES"/>
        </w:rPr>
      </w:pPr>
      <w:r w:rsidRPr="00E7370A">
        <w:rPr>
          <w:rFonts w:ascii="Arial" w:hAnsi="Arial" w:cs="Arial"/>
          <w:lang w:val="es-ES"/>
        </w:rPr>
        <w:t>Universidad Nacional de Colombia, Bogotá D.C.</w:t>
      </w:r>
      <w:r w:rsidR="00E7370A" w:rsidRPr="00E7370A">
        <w:rPr>
          <w:rFonts w:ascii="Arial" w:hAnsi="Arial" w:cs="Arial"/>
          <w:lang w:val="es-ES"/>
        </w:rPr>
        <w:t>, Colombia</w:t>
      </w:r>
    </w:p>
    <w:p w:rsidR="00AE3E37" w:rsidRPr="00E7370A" w:rsidRDefault="00E7370A" w:rsidP="00E7370A">
      <w:pPr>
        <w:pStyle w:val="Textoindependiente"/>
        <w:rPr>
          <w:rFonts w:ascii="Arial" w:hAnsi="Arial" w:cs="Arial"/>
          <w:lang w:val="es-ES"/>
        </w:rPr>
      </w:pPr>
      <w:r w:rsidRPr="00E7370A">
        <w:rPr>
          <w:rFonts w:ascii="Arial" w:hAnsi="Arial" w:cs="Arial"/>
          <w:lang w:val="es-ES"/>
        </w:rPr>
        <w:t>Universidad de La Salle, Bogotá, D.C., Colombia</w:t>
      </w:r>
    </w:p>
    <w:p w:rsidR="00AE3E37" w:rsidRPr="00A66F57" w:rsidRDefault="00AE3E37">
      <w:pPr>
        <w:pStyle w:val="Textoindependiente"/>
        <w:spacing w:before="3"/>
        <w:rPr>
          <w:rFonts w:ascii="Arial"/>
          <w:sz w:val="21"/>
          <w:lang w:val="es-ES"/>
        </w:rPr>
      </w:pPr>
    </w:p>
    <w:p w:rsidR="00AE3E37" w:rsidRPr="00A66F57" w:rsidRDefault="00AE3E37">
      <w:pPr>
        <w:rPr>
          <w:rFonts w:ascii="Arial"/>
          <w:sz w:val="21"/>
          <w:lang w:val="es-ES"/>
        </w:rPr>
        <w:sectPr w:rsidR="00AE3E37" w:rsidRPr="00A66F57">
          <w:headerReference w:type="default" r:id="rId8"/>
          <w:footerReference w:type="default" r:id="rId9"/>
          <w:type w:val="continuous"/>
          <w:pgSz w:w="11910" w:h="16840"/>
          <w:pgMar w:top="1740" w:right="600" w:bottom="840" w:left="620" w:header="541" w:footer="642" w:gutter="0"/>
          <w:cols w:space="720"/>
        </w:sectPr>
      </w:pPr>
    </w:p>
    <w:p w:rsidR="0094269C" w:rsidRPr="0094269C" w:rsidRDefault="0094269C" w:rsidP="0094269C">
      <w:pPr>
        <w:jc w:val="both"/>
        <w:rPr>
          <w:rFonts w:asciiTheme="minorHAnsi" w:eastAsia="Times New Roman" w:hAnsiTheme="minorHAnsi" w:cstheme="minorHAnsi"/>
          <w:color w:val="000000"/>
          <w:sz w:val="18"/>
          <w:szCs w:val="18"/>
          <w:lang w:eastAsia="es-CO"/>
        </w:rPr>
      </w:pPr>
      <w:r w:rsidRPr="0094269C">
        <w:rPr>
          <w:rFonts w:asciiTheme="minorHAnsi" w:eastAsia="Times New Roman" w:hAnsiTheme="minorHAnsi" w:cstheme="minorHAnsi"/>
          <w:color w:val="000000"/>
          <w:sz w:val="18"/>
          <w:szCs w:val="18"/>
          <w:lang w:eastAsia="es-CO"/>
        </w:rPr>
        <w:lastRenderedPageBreak/>
        <w:t xml:space="preserve">GOS are carbohydrates with a glucose molecule linked to 2-5 molecules of </w:t>
      </w:r>
      <w:proofErr w:type="spellStart"/>
      <w:r w:rsidRPr="0094269C">
        <w:rPr>
          <w:rFonts w:asciiTheme="minorHAnsi" w:eastAsia="Times New Roman" w:hAnsiTheme="minorHAnsi" w:cstheme="minorHAnsi"/>
          <w:color w:val="000000"/>
          <w:sz w:val="18"/>
          <w:szCs w:val="18"/>
          <w:lang w:eastAsia="es-CO"/>
        </w:rPr>
        <w:t>galactose</w:t>
      </w:r>
      <w:proofErr w:type="spellEnd"/>
      <w:r w:rsidRPr="0094269C">
        <w:rPr>
          <w:rFonts w:asciiTheme="minorHAnsi" w:eastAsia="Times New Roman" w:hAnsiTheme="minorHAnsi" w:cstheme="minorHAnsi"/>
          <w:color w:val="000000"/>
          <w:sz w:val="18"/>
          <w:szCs w:val="18"/>
          <w:lang w:eastAsia="es-CO"/>
        </w:rPr>
        <w:t xml:space="preserve">. GOS are prebiotics and are industrially obtained by enzymatic reactions. Source of GOS reaction might be lactose or cheese whey, with a lactose content higher than 70%. Hydrolysis reaction breaks lactose into glucose and </w:t>
      </w:r>
      <w:proofErr w:type="spellStart"/>
      <w:r w:rsidRPr="0094269C">
        <w:rPr>
          <w:rFonts w:asciiTheme="minorHAnsi" w:eastAsia="Times New Roman" w:hAnsiTheme="minorHAnsi" w:cstheme="minorHAnsi"/>
          <w:color w:val="000000"/>
          <w:sz w:val="18"/>
          <w:szCs w:val="18"/>
          <w:lang w:eastAsia="es-CO"/>
        </w:rPr>
        <w:t>galactose</w:t>
      </w:r>
      <w:proofErr w:type="spellEnd"/>
      <w:r w:rsidRPr="0094269C">
        <w:rPr>
          <w:rFonts w:asciiTheme="minorHAnsi" w:eastAsia="Times New Roman" w:hAnsiTheme="minorHAnsi" w:cstheme="minorHAnsi"/>
          <w:color w:val="000000"/>
          <w:sz w:val="18"/>
          <w:szCs w:val="18"/>
          <w:lang w:eastAsia="es-CO"/>
        </w:rPr>
        <w:t xml:space="preserve">, which reacts to form GOS, through </w:t>
      </w:r>
      <w:proofErr w:type="spellStart"/>
      <w:r w:rsidRPr="0094269C">
        <w:rPr>
          <w:rFonts w:asciiTheme="minorHAnsi" w:eastAsia="Times New Roman" w:hAnsiTheme="minorHAnsi" w:cstheme="minorHAnsi"/>
          <w:color w:val="000000"/>
          <w:sz w:val="18"/>
          <w:szCs w:val="18"/>
          <w:lang w:eastAsia="es-CO"/>
        </w:rPr>
        <w:t>transgalactosylation</w:t>
      </w:r>
      <w:proofErr w:type="spellEnd"/>
      <w:r w:rsidRPr="0094269C">
        <w:rPr>
          <w:rFonts w:asciiTheme="minorHAnsi" w:eastAsia="Times New Roman" w:hAnsiTheme="minorHAnsi" w:cstheme="minorHAnsi"/>
          <w:color w:val="000000"/>
          <w:sz w:val="18"/>
          <w:szCs w:val="18"/>
          <w:lang w:eastAsia="es-CO"/>
        </w:rPr>
        <w:t xml:space="preserve"> reaction, presence of these </w:t>
      </w:r>
      <w:proofErr w:type="spellStart"/>
      <w:r w:rsidRPr="0094269C">
        <w:rPr>
          <w:rFonts w:asciiTheme="minorHAnsi" w:eastAsia="Times New Roman" w:hAnsiTheme="minorHAnsi" w:cstheme="minorHAnsi"/>
          <w:color w:val="000000"/>
          <w:sz w:val="18"/>
          <w:szCs w:val="18"/>
          <w:lang w:eastAsia="es-CO"/>
        </w:rPr>
        <w:t>monosaccharides</w:t>
      </w:r>
      <w:proofErr w:type="spellEnd"/>
      <w:r w:rsidRPr="0094269C">
        <w:rPr>
          <w:rFonts w:asciiTheme="minorHAnsi" w:eastAsia="Times New Roman" w:hAnsiTheme="minorHAnsi" w:cstheme="minorHAnsi"/>
          <w:color w:val="000000"/>
          <w:sz w:val="18"/>
          <w:szCs w:val="18"/>
          <w:lang w:eastAsia="es-CO"/>
        </w:rPr>
        <w:t xml:space="preserve"> </w:t>
      </w:r>
      <w:proofErr w:type="gramStart"/>
      <w:r w:rsidRPr="0094269C">
        <w:rPr>
          <w:rFonts w:asciiTheme="minorHAnsi" w:eastAsia="Times New Roman" w:hAnsiTheme="minorHAnsi" w:cstheme="minorHAnsi"/>
          <w:color w:val="000000"/>
          <w:sz w:val="18"/>
          <w:szCs w:val="18"/>
          <w:lang w:eastAsia="es-CO"/>
        </w:rPr>
        <w:t>inhibit</w:t>
      </w:r>
      <w:proofErr w:type="gramEnd"/>
      <w:r w:rsidRPr="0094269C">
        <w:rPr>
          <w:rFonts w:asciiTheme="minorHAnsi" w:eastAsia="Times New Roman" w:hAnsiTheme="minorHAnsi" w:cstheme="minorHAnsi"/>
          <w:color w:val="000000"/>
          <w:sz w:val="18"/>
          <w:szCs w:val="18"/>
          <w:lang w:eastAsia="es-CO"/>
        </w:rPr>
        <w:t xml:space="preserve"> the latest reaction and decrease the GOS production.</w:t>
      </w:r>
    </w:p>
    <w:p w:rsidR="0094269C" w:rsidRPr="0094269C" w:rsidRDefault="0094269C" w:rsidP="0094269C">
      <w:pPr>
        <w:jc w:val="both"/>
        <w:rPr>
          <w:rFonts w:asciiTheme="minorHAnsi" w:eastAsia="Times New Roman" w:hAnsiTheme="minorHAnsi" w:cstheme="minorHAnsi"/>
          <w:color w:val="000000"/>
          <w:sz w:val="18"/>
          <w:szCs w:val="18"/>
          <w:lang w:eastAsia="es-CO"/>
        </w:rPr>
      </w:pPr>
      <w:r w:rsidRPr="0094269C">
        <w:rPr>
          <w:rFonts w:asciiTheme="minorHAnsi" w:eastAsia="Times New Roman" w:hAnsiTheme="minorHAnsi" w:cstheme="minorHAnsi"/>
          <w:color w:val="000000"/>
          <w:sz w:val="18"/>
          <w:szCs w:val="18"/>
          <w:lang w:eastAsia="es-CO"/>
        </w:rPr>
        <w:t xml:space="preserve">ATPS could be used to separate a mixture of substances according to its preferential affinity to one of the two phases in this system, it is formed by two polymers or a salt and a polymer dissolved in water upon a specific concentration to produce phase separation. There are many factors affecting this operation like pH, temperature, polymer, </w:t>
      </w:r>
      <w:proofErr w:type="gramStart"/>
      <w:r w:rsidRPr="0094269C">
        <w:rPr>
          <w:rFonts w:asciiTheme="minorHAnsi" w:eastAsia="Times New Roman" w:hAnsiTheme="minorHAnsi" w:cstheme="minorHAnsi"/>
          <w:color w:val="000000"/>
          <w:sz w:val="18"/>
          <w:szCs w:val="18"/>
          <w:lang w:eastAsia="es-CO"/>
        </w:rPr>
        <w:t>salt</w:t>
      </w:r>
      <w:proofErr w:type="gramEnd"/>
      <w:r w:rsidRPr="0094269C">
        <w:rPr>
          <w:rFonts w:asciiTheme="minorHAnsi" w:eastAsia="Times New Roman" w:hAnsiTheme="minorHAnsi" w:cstheme="minorHAnsi"/>
          <w:color w:val="000000"/>
          <w:sz w:val="18"/>
          <w:szCs w:val="18"/>
          <w:lang w:eastAsia="es-CO"/>
        </w:rPr>
        <w:t xml:space="preserve"> and substances concentration, molecular weight of polymer and polymer / salt ratio.</w:t>
      </w:r>
    </w:p>
    <w:p w:rsidR="0094269C" w:rsidRPr="0094269C" w:rsidRDefault="0094269C" w:rsidP="0094269C">
      <w:pPr>
        <w:jc w:val="both"/>
        <w:rPr>
          <w:rFonts w:asciiTheme="minorHAnsi" w:eastAsia="Times New Roman" w:hAnsiTheme="minorHAnsi" w:cstheme="minorHAnsi"/>
          <w:color w:val="000000"/>
          <w:sz w:val="18"/>
          <w:szCs w:val="18"/>
          <w:lang w:eastAsia="es-CO"/>
        </w:rPr>
      </w:pPr>
      <w:r w:rsidRPr="0094269C">
        <w:rPr>
          <w:rFonts w:asciiTheme="minorHAnsi" w:eastAsia="Times New Roman" w:hAnsiTheme="minorHAnsi" w:cstheme="minorHAnsi"/>
          <w:color w:val="000000"/>
          <w:sz w:val="18"/>
          <w:szCs w:val="18"/>
          <w:lang w:eastAsia="es-CO"/>
        </w:rPr>
        <w:t xml:space="preserve">Microwave </w:t>
      </w:r>
      <w:proofErr w:type="gramStart"/>
      <w:r w:rsidRPr="0094269C">
        <w:rPr>
          <w:rFonts w:asciiTheme="minorHAnsi" w:eastAsia="Times New Roman" w:hAnsiTheme="minorHAnsi" w:cstheme="minorHAnsi"/>
          <w:color w:val="000000"/>
          <w:sz w:val="18"/>
          <w:szCs w:val="18"/>
          <w:lang w:eastAsia="es-CO"/>
        </w:rPr>
        <w:t>irradiation have</w:t>
      </w:r>
      <w:proofErr w:type="gramEnd"/>
      <w:r w:rsidRPr="0094269C">
        <w:rPr>
          <w:rFonts w:asciiTheme="minorHAnsi" w:eastAsia="Times New Roman" w:hAnsiTheme="minorHAnsi" w:cstheme="minorHAnsi"/>
          <w:color w:val="000000"/>
          <w:sz w:val="18"/>
          <w:szCs w:val="18"/>
          <w:lang w:eastAsia="es-CO"/>
        </w:rPr>
        <w:t xml:space="preserve"> shown a positive effect on enzymatic reactions, improving yield and productivity.</w:t>
      </w:r>
    </w:p>
    <w:p w:rsidR="0094269C" w:rsidRPr="0094269C" w:rsidRDefault="0094269C" w:rsidP="0094269C">
      <w:pPr>
        <w:jc w:val="both"/>
        <w:rPr>
          <w:rFonts w:asciiTheme="minorHAnsi" w:eastAsia="Times New Roman" w:hAnsiTheme="minorHAnsi" w:cstheme="minorHAnsi"/>
          <w:color w:val="000000"/>
          <w:sz w:val="18"/>
          <w:szCs w:val="18"/>
          <w:lang w:eastAsia="es-CO"/>
        </w:rPr>
      </w:pPr>
      <w:r w:rsidRPr="0094269C">
        <w:rPr>
          <w:rFonts w:asciiTheme="minorHAnsi" w:eastAsia="Times New Roman" w:hAnsiTheme="minorHAnsi" w:cstheme="minorHAnsi"/>
          <w:color w:val="000000"/>
          <w:sz w:val="18"/>
          <w:szCs w:val="18"/>
          <w:lang w:eastAsia="es-CO"/>
        </w:rPr>
        <w:t xml:space="preserve">ATPS was used in this work to produce and separate </w:t>
      </w:r>
      <w:proofErr w:type="spellStart"/>
      <w:r w:rsidRPr="0094269C">
        <w:rPr>
          <w:rFonts w:asciiTheme="minorHAnsi" w:eastAsia="Times New Roman" w:hAnsiTheme="minorHAnsi" w:cstheme="minorHAnsi"/>
          <w:color w:val="000000"/>
          <w:sz w:val="18"/>
          <w:szCs w:val="18"/>
          <w:lang w:eastAsia="es-CO"/>
        </w:rPr>
        <w:t>galactooligosaccharides</w:t>
      </w:r>
      <w:proofErr w:type="spellEnd"/>
      <w:r w:rsidRPr="0094269C">
        <w:rPr>
          <w:rFonts w:asciiTheme="minorHAnsi" w:eastAsia="Times New Roman" w:hAnsiTheme="minorHAnsi" w:cstheme="minorHAnsi"/>
          <w:color w:val="000000"/>
          <w:sz w:val="18"/>
          <w:szCs w:val="18"/>
          <w:lang w:eastAsia="es-CO"/>
        </w:rPr>
        <w:t xml:space="preserve"> simultaneously. Reaction medium is formed of lactose at different concentrations, </w:t>
      </w:r>
      <w:proofErr w:type="spellStart"/>
      <w:r w:rsidRPr="0094269C">
        <w:rPr>
          <w:rFonts w:asciiTheme="minorHAnsi" w:eastAsia="Times New Roman" w:hAnsiTheme="minorHAnsi" w:cstheme="minorHAnsi"/>
          <w:color w:val="000000"/>
          <w:sz w:val="18"/>
          <w:szCs w:val="18"/>
          <w:lang w:eastAsia="es-CO"/>
        </w:rPr>
        <w:t>polyethyleneglycol</w:t>
      </w:r>
      <w:proofErr w:type="spellEnd"/>
      <w:r w:rsidRPr="0094269C">
        <w:rPr>
          <w:rFonts w:asciiTheme="minorHAnsi" w:eastAsia="Times New Roman" w:hAnsiTheme="minorHAnsi" w:cstheme="minorHAnsi"/>
          <w:color w:val="000000"/>
          <w:sz w:val="18"/>
          <w:szCs w:val="18"/>
          <w:lang w:eastAsia="es-CO"/>
        </w:rPr>
        <w:t xml:space="preserve"> (PEG) and sodium citrate to form ATPS, pH of 4.5 – </w:t>
      </w:r>
      <w:proofErr w:type="gramStart"/>
      <w:r w:rsidRPr="0094269C">
        <w:rPr>
          <w:rFonts w:asciiTheme="minorHAnsi" w:eastAsia="Times New Roman" w:hAnsiTheme="minorHAnsi" w:cstheme="minorHAnsi"/>
          <w:color w:val="000000"/>
          <w:sz w:val="18"/>
          <w:szCs w:val="18"/>
          <w:lang w:eastAsia="es-CO"/>
        </w:rPr>
        <w:t>5.5,</w:t>
      </w:r>
      <w:proofErr w:type="gramEnd"/>
      <w:r w:rsidRPr="0094269C">
        <w:rPr>
          <w:rFonts w:asciiTheme="minorHAnsi" w:eastAsia="Times New Roman" w:hAnsiTheme="minorHAnsi" w:cstheme="minorHAnsi"/>
          <w:color w:val="000000"/>
          <w:sz w:val="18"/>
          <w:szCs w:val="18"/>
          <w:lang w:eastAsia="es-CO"/>
        </w:rPr>
        <w:t xml:space="preserve"> temperatures tested were between 40 - 60°C. Was evaluated the effect of microwave irradiation on reaction, ATPS separation and simultaneous reactions-separation conditions.</w:t>
      </w:r>
    </w:p>
    <w:p w:rsidR="005973B9" w:rsidRPr="00662D8D" w:rsidRDefault="0094269C" w:rsidP="00662D8D">
      <w:pPr>
        <w:pStyle w:val="Ttulo3"/>
        <w:spacing w:before="74"/>
        <w:ind w:left="0"/>
        <w:jc w:val="both"/>
      </w:pPr>
      <w:r w:rsidRPr="0094269C">
        <w:rPr>
          <w:rFonts w:asciiTheme="minorHAnsi" w:eastAsia="Times New Roman" w:hAnsiTheme="minorHAnsi" w:cstheme="minorHAnsi"/>
          <w:b w:val="0"/>
          <w:color w:val="000000"/>
          <w:sz w:val="18"/>
          <w:szCs w:val="18"/>
          <w:lang w:eastAsia="es-CO"/>
        </w:rPr>
        <w:t xml:space="preserve">Were </w:t>
      </w:r>
      <w:proofErr w:type="spellStart"/>
      <w:r w:rsidRPr="0094269C">
        <w:rPr>
          <w:rFonts w:asciiTheme="minorHAnsi" w:eastAsia="Times New Roman" w:hAnsiTheme="minorHAnsi" w:cstheme="minorHAnsi"/>
          <w:b w:val="0"/>
          <w:color w:val="000000"/>
          <w:sz w:val="18"/>
          <w:szCs w:val="18"/>
          <w:lang w:eastAsia="es-CO"/>
        </w:rPr>
        <w:t>stablished</w:t>
      </w:r>
      <w:proofErr w:type="spellEnd"/>
      <w:r w:rsidRPr="0094269C">
        <w:rPr>
          <w:rFonts w:asciiTheme="minorHAnsi" w:eastAsia="Times New Roman" w:hAnsiTheme="minorHAnsi" w:cstheme="minorHAnsi"/>
          <w:b w:val="0"/>
          <w:color w:val="000000"/>
          <w:sz w:val="18"/>
          <w:szCs w:val="18"/>
          <w:lang w:eastAsia="es-CO"/>
        </w:rPr>
        <w:t xml:space="preserve"> all conditions in ATPS that produced optimized results, which were expressed as partition coefficient separation yield, selectivity to GOS and reaction yield. Selectivity to GOS raise up more than 40%, relative to conventional medium, reaction yield did not change statistically. Separation of carbohydrates mixture is according to its molecular weight, heaviest substances (GOS) kept mainly in the bottom phase (sodium citrate), while </w:t>
      </w:r>
      <w:proofErr w:type="spellStart"/>
      <w:r w:rsidRPr="0094269C">
        <w:rPr>
          <w:rFonts w:asciiTheme="minorHAnsi" w:eastAsia="Times New Roman" w:hAnsiTheme="minorHAnsi" w:cstheme="minorHAnsi"/>
          <w:b w:val="0"/>
          <w:color w:val="000000"/>
          <w:sz w:val="18"/>
          <w:szCs w:val="18"/>
          <w:lang w:eastAsia="es-CO"/>
        </w:rPr>
        <w:t>monosaccharides</w:t>
      </w:r>
      <w:proofErr w:type="spellEnd"/>
      <w:r w:rsidRPr="0094269C">
        <w:rPr>
          <w:rFonts w:asciiTheme="minorHAnsi" w:eastAsia="Times New Roman" w:hAnsiTheme="minorHAnsi" w:cstheme="minorHAnsi"/>
          <w:b w:val="0"/>
          <w:color w:val="000000"/>
          <w:sz w:val="18"/>
          <w:szCs w:val="18"/>
          <w:lang w:eastAsia="es-CO"/>
        </w:rPr>
        <w:t xml:space="preserve"> kept in top phase (PEG). Optimized results of reaction, separation and simultaneous reaction-separation were tested into microwave irradiation. Yield and productivity were increased with microwave action</w:t>
      </w:r>
      <w:r w:rsidRPr="0094269C">
        <w:rPr>
          <w:rFonts w:asciiTheme="minorHAnsi" w:eastAsia="Times New Roman" w:hAnsiTheme="minorHAnsi" w:cstheme="minorHAnsi"/>
          <w:color w:val="000000"/>
          <w:sz w:val="18"/>
          <w:szCs w:val="18"/>
          <w:lang w:eastAsia="es-CO"/>
        </w:rPr>
        <w:t>.</w:t>
      </w:r>
      <w:r w:rsidR="00A9710C" w:rsidRPr="00662D8D">
        <w:rPr>
          <w:b w:val="0"/>
        </w:rPr>
        <w:br w:type="column"/>
      </w:r>
      <w:r w:rsidR="00662D8D">
        <w:rPr>
          <w:b w:val="0"/>
          <w:color w:val="BF5A14"/>
        </w:rPr>
        <w:lastRenderedPageBreak/>
        <w:t>Recent Publications</w:t>
      </w:r>
    </w:p>
    <w:p w:rsidR="0094269C" w:rsidRDefault="00662D8D" w:rsidP="0094269C">
      <w:pPr>
        <w:pStyle w:val="Textoindependiente"/>
        <w:numPr>
          <w:ilvl w:val="0"/>
          <w:numId w:val="4"/>
        </w:numPr>
        <w:spacing w:before="2"/>
        <w:rPr>
          <w:rFonts w:asciiTheme="minorHAnsi" w:hAnsiTheme="minorHAnsi" w:cstheme="minorHAnsi"/>
          <w:sz w:val="16"/>
          <w:szCs w:val="16"/>
        </w:rPr>
      </w:pPr>
      <w:r w:rsidRPr="00662D8D">
        <w:rPr>
          <w:rFonts w:asciiTheme="minorHAnsi" w:hAnsiTheme="minorHAnsi" w:cstheme="minorHAnsi"/>
          <w:sz w:val="16"/>
          <w:szCs w:val="16"/>
          <w:lang w:val="es-ES"/>
        </w:rPr>
        <w:t>D</w:t>
      </w:r>
      <w:r w:rsidR="0094269C" w:rsidRPr="00662D8D">
        <w:rPr>
          <w:rFonts w:asciiTheme="minorHAnsi" w:hAnsiTheme="minorHAnsi" w:cstheme="minorHAnsi"/>
          <w:sz w:val="16"/>
          <w:szCs w:val="16"/>
          <w:lang w:val="es-ES"/>
        </w:rPr>
        <w:t xml:space="preserve">el-Val, M. I., &amp; Otero, C. (2003). </w:t>
      </w:r>
      <w:r w:rsidR="0094269C" w:rsidRPr="00662D8D">
        <w:rPr>
          <w:rFonts w:asciiTheme="minorHAnsi" w:hAnsiTheme="minorHAnsi" w:cstheme="minorHAnsi"/>
          <w:sz w:val="16"/>
          <w:szCs w:val="16"/>
        </w:rPr>
        <w:t xml:space="preserve">Biphasic aqueous media containing polyethylene glycol for the enzymatic synthesis of oligosaccharides from lactose. Enzyme and Microbial Technology, 33(1), 118–126. </w:t>
      </w:r>
      <w:hyperlink r:id="rId10" w:history="1">
        <w:r w:rsidRPr="007B2F2B">
          <w:rPr>
            <w:rStyle w:val="Hipervnculo"/>
            <w:rFonts w:asciiTheme="minorHAnsi" w:hAnsiTheme="minorHAnsi" w:cstheme="minorHAnsi"/>
            <w:sz w:val="16"/>
            <w:szCs w:val="16"/>
          </w:rPr>
          <w:t>https://doi.org/10.1016/S0141-0229(03)00098-X</w:t>
        </w:r>
      </w:hyperlink>
    </w:p>
    <w:p w:rsidR="00662D8D" w:rsidRPr="00662D8D" w:rsidRDefault="00662D8D" w:rsidP="00662D8D">
      <w:pPr>
        <w:pStyle w:val="Prrafodelista"/>
        <w:numPr>
          <w:ilvl w:val="0"/>
          <w:numId w:val="4"/>
        </w:numPr>
        <w:tabs>
          <w:tab w:val="left" w:pos="384"/>
        </w:tabs>
        <w:ind w:right="117"/>
        <w:rPr>
          <w:rFonts w:asciiTheme="minorHAnsi" w:hAnsiTheme="minorHAnsi" w:cstheme="minorHAnsi"/>
          <w:sz w:val="16"/>
          <w:szCs w:val="16"/>
        </w:rPr>
      </w:pPr>
      <w:proofErr w:type="spellStart"/>
      <w:r>
        <w:rPr>
          <w:rFonts w:asciiTheme="minorHAnsi" w:hAnsiTheme="minorHAnsi" w:cstheme="minorHAnsi"/>
          <w:sz w:val="16"/>
          <w:szCs w:val="16"/>
        </w:rPr>
        <w:t>M</w:t>
      </w:r>
      <w:r w:rsidRPr="00662D8D">
        <w:rPr>
          <w:rFonts w:asciiTheme="minorHAnsi" w:hAnsiTheme="minorHAnsi" w:cstheme="minorHAnsi"/>
          <w:sz w:val="16"/>
          <w:szCs w:val="16"/>
        </w:rPr>
        <w:t>augard</w:t>
      </w:r>
      <w:proofErr w:type="spellEnd"/>
      <w:r w:rsidRPr="00662D8D">
        <w:rPr>
          <w:rFonts w:asciiTheme="minorHAnsi" w:hAnsiTheme="minorHAnsi" w:cstheme="minorHAnsi"/>
          <w:sz w:val="16"/>
          <w:szCs w:val="16"/>
        </w:rPr>
        <w:t xml:space="preserve">, T., Gaunt, D., </w:t>
      </w:r>
      <w:proofErr w:type="spellStart"/>
      <w:r w:rsidRPr="00662D8D">
        <w:rPr>
          <w:rFonts w:asciiTheme="minorHAnsi" w:hAnsiTheme="minorHAnsi" w:cstheme="minorHAnsi"/>
          <w:sz w:val="16"/>
          <w:szCs w:val="16"/>
        </w:rPr>
        <w:t>Legoy</w:t>
      </w:r>
      <w:proofErr w:type="spellEnd"/>
      <w:r w:rsidRPr="00662D8D">
        <w:rPr>
          <w:rFonts w:asciiTheme="minorHAnsi" w:hAnsiTheme="minorHAnsi" w:cstheme="minorHAnsi"/>
          <w:sz w:val="16"/>
          <w:szCs w:val="16"/>
        </w:rPr>
        <w:t xml:space="preserve">, M. D., &amp; </w:t>
      </w:r>
      <w:proofErr w:type="spellStart"/>
      <w:r w:rsidRPr="00662D8D">
        <w:rPr>
          <w:rFonts w:asciiTheme="minorHAnsi" w:hAnsiTheme="minorHAnsi" w:cstheme="minorHAnsi"/>
          <w:sz w:val="16"/>
          <w:szCs w:val="16"/>
        </w:rPr>
        <w:t>Besson</w:t>
      </w:r>
      <w:proofErr w:type="spellEnd"/>
      <w:r w:rsidRPr="00662D8D">
        <w:rPr>
          <w:rFonts w:asciiTheme="minorHAnsi" w:hAnsiTheme="minorHAnsi" w:cstheme="minorHAnsi"/>
          <w:sz w:val="16"/>
          <w:szCs w:val="16"/>
        </w:rPr>
        <w:t xml:space="preserve">, T. (2003). Microwave-assisted synthesis of </w:t>
      </w:r>
      <w:proofErr w:type="spellStart"/>
      <w:r w:rsidRPr="00662D8D">
        <w:rPr>
          <w:rFonts w:asciiTheme="minorHAnsi" w:hAnsiTheme="minorHAnsi" w:cstheme="minorHAnsi"/>
          <w:sz w:val="16"/>
          <w:szCs w:val="16"/>
        </w:rPr>
        <w:t>galacto</w:t>
      </w:r>
      <w:proofErr w:type="spellEnd"/>
      <w:r w:rsidRPr="00662D8D">
        <w:rPr>
          <w:rFonts w:asciiTheme="minorHAnsi" w:hAnsiTheme="minorHAnsi" w:cstheme="minorHAnsi"/>
          <w:sz w:val="16"/>
          <w:szCs w:val="16"/>
        </w:rPr>
        <w:t>-oligosaccharides from lactose with immobilized beta-</w:t>
      </w:r>
      <w:proofErr w:type="spellStart"/>
      <w:r w:rsidRPr="00662D8D">
        <w:rPr>
          <w:rFonts w:asciiTheme="minorHAnsi" w:hAnsiTheme="minorHAnsi" w:cstheme="minorHAnsi"/>
          <w:sz w:val="16"/>
          <w:szCs w:val="16"/>
        </w:rPr>
        <w:t>galactosidase</w:t>
      </w:r>
      <w:proofErr w:type="spellEnd"/>
      <w:r w:rsidRPr="00662D8D">
        <w:rPr>
          <w:rFonts w:asciiTheme="minorHAnsi" w:hAnsiTheme="minorHAnsi" w:cstheme="minorHAnsi"/>
          <w:sz w:val="16"/>
          <w:szCs w:val="16"/>
        </w:rPr>
        <w:t xml:space="preserve"> from </w:t>
      </w:r>
      <w:proofErr w:type="spellStart"/>
      <w:r w:rsidRPr="00662D8D">
        <w:rPr>
          <w:rFonts w:asciiTheme="minorHAnsi" w:hAnsiTheme="minorHAnsi" w:cstheme="minorHAnsi"/>
          <w:sz w:val="16"/>
          <w:szCs w:val="16"/>
        </w:rPr>
        <w:t>Kluyveromyces</w:t>
      </w:r>
      <w:proofErr w:type="spellEnd"/>
      <w:r w:rsidRPr="00662D8D">
        <w:rPr>
          <w:rFonts w:asciiTheme="minorHAnsi" w:hAnsiTheme="minorHAnsi" w:cstheme="minorHAnsi"/>
          <w:sz w:val="16"/>
          <w:szCs w:val="16"/>
        </w:rPr>
        <w:t xml:space="preserve"> </w:t>
      </w:r>
      <w:proofErr w:type="spellStart"/>
      <w:r w:rsidRPr="00662D8D">
        <w:rPr>
          <w:rFonts w:asciiTheme="minorHAnsi" w:hAnsiTheme="minorHAnsi" w:cstheme="minorHAnsi"/>
          <w:sz w:val="16"/>
          <w:szCs w:val="16"/>
        </w:rPr>
        <w:t>lactis</w:t>
      </w:r>
      <w:proofErr w:type="spellEnd"/>
      <w:r w:rsidRPr="00662D8D">
        <w:rPr>
          <w:rFonts w:asciiTheme="minorHAnsi" w:hAnsiTheme="minorHAnsi" w:cstheme="minorHAnsi"/>
          <w:sz w:val="16"/>
          <w:szCs w:val="16"/>
        </w:rPr>
        <w:t xml:space="preserve">. Biotechnology Letters, 25(8), 623–9. Retrieved from </w:t>
      </w:r>
      <w:hyperlink r:id="rId11" w:history="1">
        <w:r w:rsidRPr="00662D8D">
          <w:rPr>
            <w:rStyle w:val="Hipervnculo"/>
            <w:rFonts w:asciiTheme="minorHAnsi" w:hAnsiTheme="minorHAnsi" w:cstheme="minorHAnsi"/>
            <w:sz w:val="16"/>
            <w:szCs w:val="16"/>
          </w:rPr>
          <w:t>http://www.ncbi.nlm.nih.gov/pubmed/12882156</w:t>
        </w:r>
      </w:hyperlink>
    </w:p>
    <w:p w:rsidR="0094269C" w:rsidRPr="00662D8D" w:rsidRDefault="0094269C" w:rsidP="0094269C">
      <w:pPr>
        <w:pStyle w:val="Textoindependiente"/>
        <w:numPr>
          <w:ilvl w:val="0"/>
          <w:numId w:val="4"/>
        </w:numPr>
        <w:spacing w:before="2"/>
        <w:rPr>
          <w:rFonts w:asciiTheme="minorHAnsi" w:hAnsiTheme="minorHAnsi" w:cstheme="minorHAnsi"/>
          <w:sz w:val="16"/>
          <w:szCs w:val="16"/>
        </w:rPr>
      </w:pPr>
      <w:r w:rsidRPr="00662D8D">
        <w:rPr>
          <w:rFonts w:asciiTheme="minorHAnsi" w:hAnsiTheme="minorHAnsi" w:cstheme="minorHAnsi"/>
          <w:sz w:val="16"/>
          <w:szCs w:val="16"/>
          <w:lang w:val="es-ES"/>
        </w:rPr>
        <w:t xml:space="preserve">Raja, S., &amp; </w:t>
      </w:r>
      <w:proofErr w:type="spellStart"/>
      <w:r w:rsidRPr="00662D8D">
        <w:rPr>
          <w:rFonts w:asciiTheme="minorHAnsi" w:hAnsiTheme="minorHAnsi" w:cstheme="minorHAnsi"/>
          <w:sz w:val="16"/>
          <w:szCs w:val="16"/>
          <w:lang w:val="es-ES"/>
        </w:rPr>
        <w:t>Murty</w:t>
      </w:r>
      <w:proofErr w:type="spellEnd"/>
      <w:r w:rsidRPr="00662D8D">
        <w:rPr>
          <w:rFonts w:asciiTheme="minorHAnsi" w:hAnsiTheme="minorHAnsi" w:cstheme="minorHAnsi"/>
          <w:sz w:val="16"/>
          <w:szCs w:val="16"/>
          <w:lang w:val="es-ES"/>
        </w:rPr>
        <w:t xml:space="preserve">, V. R. (2013). </w:t>
      </w:r>
      <w:r w:rsidRPr="00662D8D">
        <w:rPr>
          <w:rFonts w:asciiTheme="minorHAnsi" w:hAnsiTheme="minorHAnsi" w:cstheme="minorHAnsi"/>
          <w:sz w:val="16"/>
          <w:szCs w:val="16"/>
        </w:rPr>
        <w:t xml:space="preserve">Liquid-Liquid </w:t>
      </w:r>
      <w:proofErr w:type="spellStart"/>
      <w:r w:rsidRPr="00662D8D">
        <w:rPr>
          <w:rFonts w:asciiTheme="minorHAnsi" w:hAnsiTheme="minorHAnsi" w:cstheme="minorHAnsi"/>
          <w:sz w:val="16"/>
          <w:szCs w:val="16"/>
        </w:rPr>
        <w:t>Equilibria</w:t>
      </w:r>
      <w:proofErr w:type="spellEnd"/>
      <w:r w:rsidRPr="00662D8D">
        <w:rPr>
          <w:rFonts w:asciiTheme="minorHAnsi" w:hAnsiTheme="minorHAnsi" w:cstheme="minorHAnsi"/>
          <w:sz w:val="16"/>
          <w:szCs w:val="16"/>
        </w:rPr>
        <w:t xml:space="preserve"> of Aqueous Two-Phase Systems Containing PEG + Sodium Citrate + Water at various </w:t>
      </w:r>
      <w:proofErr w:type="spellStart"/>
      <w:r w:rsidRPr="00662D8D">
        <w:rPr>
          <w:rFonts w:asciiTheme="minorHAnsi" w:hAnsiTheme="minorHAnsi" w:cstheme="minorHAnsi"/>
          <w:sz w:val="16"/>
          <w:szCs w:val="16"/>
        </w:rPr>
        <w:t>pH.</w:t>
      </w:r>
      <w:proofErr w:type="spellEnd"/>
      <w:r w:rsidRPr="00662D8D">
        <w:rPr>
          <w:rFonts w:asciiTheme="minorHAnsi" w:hAnsiTheme="minorHAnsi" w:cstheme="minorHAnsi"/>
          <w:sz w:val="16"/>
          <w:szCs w:val="16"/>
        </w:rPr>
        <w:t xml:space="preserve"> Journal of Chemical Science and Technology, 2(4), 169–174.</w:t>
      </w:r>
    </w:p>
    <w:p w:rsidR="00662D8D" w:rsidRPr="00662D8D" w:rsidRDefault="0094269C" w:rsidP="00662D8D">
      <w:pPr>
        <w:pStyle w:val="Textoindependiente"/>
        <w:numPr>
          <w:ilvl w:val="0"/>
          <w:numId w:val="4"/>
        </w:numPr>
        <w:spacing w:before="2"/>
        <w:rPr>
          <w:rFonts w:asciiTheme="minorHAnsi" w:hAnsiTheme="minorHAnsi" w:cstheme="minorHAnsi"/>
          <w:sz w:val="16"/>
          <w:szCs w:val="16"/>
        </w:rPr>
      </w:pPr>
      <w:r w:rsidRPr="00662D8D">
        <w:rPr>
          <w:rFonts w:asciiTheme="minorHAnsi" w:hAnsiTheme="minorHAnsi" w:cstheme="minorHAnsi"/>
          <w:sz w:val="16"/>
          <w:szCs w:val="16"/>
        </w:rPr>
        <w:t xml:space="preserve">Raja, S., </w:t>
      </w:r>
      <w:proofErr w:type="spellStart"/>
      <w:r w:rsidRPr="00662D8D">
        <w:rPr>
          <w:rFonts w:asciiTheme="minorHAnsi" w:hAnsiTheme="minorHAnsi" w:cstheme="minorHAnsi"/>
          <w:sz w:val="16"/>
          <w:szCs w:val="16"/>
        </w:rPr>
        <w:t>Murty</w:t>
      </w:r>
      <w:proofErr w:type="spellEnd"/>
      <w:r w:rsidRPr="00662D8D">
        <w:rPr>
          <w:rFonts w:asciiTheme="minorHAnsi" w:hAnsiTheme="minorHAnsi" w:cstheme="minorHAnsi"/>
          <w:sz w:val="16"/>
          <w:szCs w:val="16"/>
        </w:rPr>
        <w:t xml:space="preserve">, V. R., </w:t>
      </w:r>
      <w:proofErr w:type="spellStart"/>
      <w:r w:rsidRPr="00662D8D">
        <w:rPr>
          <w:rFonts w:asciiTheme="minorHAnsi" w:hAnsiTheme="minorHAnsi" w:cstheme="minorHAnsi"/>
          <w:sz w:val="16"/>
          <w:szCs w:val="16"/>
        </w:rPr>
        <w:t>Thivaharan</w:t>
      </w:r>
      <w:proofErr w:type="spellEnd"/>
      <w:r w:rsidRPr="00662D8D">
        <w:rPr>
          <w:rFonts w:asciiTheme="minorHAnsi" w:hAnsiTheme="minorHAnsi" w:cstheme="minorHAnsi"/>
          <w:sz w:val="16"/>
          <w:szCs w:val="16"/>
        </w:rPr>
        <w:t xml:space="preserve">, V., </w:t>
      </w:r>
      <w:proofErr w:type="spellStart"/>
      <w:r w:rsidRPr="00662D8D">
        <w:rPr>
          <w:rFonts w:asciiTheme="minorHAnsi" w:hAnsiTheme="minorHAnsi" w:cstheme="minorHAnsi"/>
          <w:sz w:val="16"/>
          <w:szCs w:val="16"/>
        </w:rPr>
        <w:t>Rajasekar</w:t>
      </w:r>
      <w:proofErr w:type="spellEnd"/>
      <w:r w:rsidRPr="00662D8D">
        <w:rPr>
          <w:rFonts w:asciiTheme="minorHAnsi" w:hAnsiTheme="minorHAnsi" w:cstheme="minorHAnsi"/>
          <w:sz w:val="16"/>
          <w:szCs w:val="16"/>
        </w:rPr>
        <w:t xml:space="preserve">, V., &amp; Ramesh, V. (2012). Aqueous Two Phase Systems for the Recovery of Biomolecules – A Review. Science and Technology, 1(1), 7–16. </w:t>
      </w:r>
      <w:hyperlink r:id="rId12" w:history="1">
        <w:r w:rsidR="00662D8D" w:rsidRPr="00662D8D">
          <w:rPr>
            <w:rStyle w:val="Hipervnculo"/>
            <w:rFonts w:asciiTheme="minorHAnsi" w:hAnsiTheme="minorHAnsi" w:cstheme="minorHAnsi"/>
            <w:sz w:val="16"/>
            <w:szCs w:val="16"/>
          </w:rPr>
          <w:t>https://doi.org/10.5923/j.scit.20110101.02</w:t>
        </w:r>
      </w:hyperlink>
    </w:p>
    <w:p w:rsidR="00662D8D" w:rsidRPr="00662D8D" w:rsidRDefault="0094269C" w:rsidP="00662D8D">
      <w:pPr>
        <w:pStyle w:val="Textoindependiente"/>
        <w:numPr>
          <w:ilvl w:val="0"/>
          <w:numId w:val="4"/>
        </w:numPr>
        <w:spacing w:before="2"/>
        <w:rPr>
          <w:rFonts w:asciiTheme="minorHAnsi" w:hAnsiTheme="minorHAnsi" w:cstheme="minorHAnsi"/>
          <w:sz w:val="16"/>
          <w:szCs w:val="16"/>
        </w:rPr>
      </w:pPr>
      <w:proofErr w:type="spellStart"/>
      <w:r w:rsidRPr="00662D8D">
        <w:rPr>
          <w:rFonts w:asciiTheme="minorHAnsi" w:hAnsiTheme="minorHAnsi" w:cstheme="minorHAnsi"/>
          <w:sz w:val="16"/>
          <w:szCs w:val="16"/>
        </w:rPr>
        <w:t>Saulnier</w:t>
      </w:r>
      <w:proofErr w:type="spellEnd"/>
      <w:r w:rsidRPr="00662D8D">
        <w:rPr>
          <w:rFonts w:asciiTheme="minorHAnsi" w:hAnsiTheme="minorHAnsi" w:cstheme="minorHAnsi"/>
          <w:sz w:val="16"/>
          <w:szCs w:val="16"/>
        </w:rPr>
        <w:t xml:space="preserve">, D. M. A., </w:t>
      </w:r>
      <w:proofErr w:type="spellStart"/>
      <w:r w:rsidRPr="00662D8D">
        <w:rPr>
          <w:rFonts w:asciiTheme="minorHAnsi" w:hAnsiTheme="minorHAnsi" w:cstheme="minorHAnsi"/>
          <w:sz w:val="16"/>
          <w:szCs w:val="16"/>
        </w:rPr>
        <w:t>Spinler</w:t>
      </w:r>
      <w:proofErr w:type="spellEnd"/>
      <w:r w:rsidRPr="00662D8D">
        <w:rPr>
          <w:rFonts w:asciiTheme="minorHAnsi" w:hAnsiTheme="minorHAnsi" w:cstheme="minorHAnsi"/>
          <w:sz w:val="16"/>
          <w:szCs w:val="16"/>
        </w:rPr>
        <w:t xml:space="preserve">, J. K., &amp; Gibson, G. R. (2010). NIH Public Access, 20(2), 135–141. </w:t>
      </w:r>
      <w:hyperlink r:id="rId13" w:history="1">
        <w:r w:rsidR="00662D8D" w:rsidRPr="00662D8D">
          <w:rPr>
            <w:rStyle w:val="Hipervnculo"/>
            <w:rFonts w:asciiTheme="minorHAnsi" w:hAnsiTheme="minorHAnsi" w:cstheme="minorHAnsi"/>
            <w:sz w:val="16"/>
            <w:szCs w:val="16"/>
          </w:rPr>
          <w:t>https://doi.org/10.1016/j.copbio.2009.01.002.Mechanisms</w:t>
        </w:r>
      </w:hyperlink>
    </w:p>
    <w:p w:rsidR="00AE3E37" w:rsidRDefault="0094269C" w:rsidP="00662D8D">
      <w:pPr>
        <w:pStyle w:val="Textoindependiente"/>
        <w:numPr>
          <w:ilvl w:val="0"/>
          <w:numId w:val="4"/>
        </w:numPr>
        <w:spacing w:before="2"/>
        <w:rPr>
          <w:rFonts w:asciiTheme="minorHAnsi" w:hAnsiTheme="minorHAnsi" w:cstheme="minorHAnsi"/>
          <w:sz w:val="16"/>
          <w:szCs w:val="16"/>
        </w:rPr>
      </w:pPr>
      <w:proofErr w:type="spellStart"/>
      <w:r w:rsidRPr="00662D8D">
        <w:rPr>
          <w:rFonts w:asciiTheme="minorHAnsi" w:hAnsiTheme="minorHAnsi" w:cstheme="minorHAnsi"/>
          <w:sz w:val="16"/>
          <w:szCs w:val="16"/>
        </w:rPr>
        <w:t>Shoaf</w:t>
      </w:r>
      <w:proofErr w:type="spellEnd"/>
      <w:r w:rsidRPr="00662D8D">
        <w:rPr>
          <w:rFonts w:asciiTheme="minorHAnsi" w:hAnsiTheme="minorHAnsi" w:cstheme="minorHAnsi"/>
          <w:sz w:val="16"/>
          <w:szCs w:val="16"/>
        </w:rPr>
        <w:t xml:space="preserve">, K., </w:t>
      </w:r>
      <w:proofErr w:type="spellStart"/>
      <w:r w:rsidRPr="00662D8D">
        <w:rPr>
          <w:rFonts w:asciiTheme="minorHAnsi" w:hAnsiTheme="minorHAnsi" w:cstheme="minorHAnsi"/>
          <w:sz w:val="16"/>
          <w:szCs w:val="16"/>
        </w:rPr>
        <w:t>Mulvey</w:t>
      </w:r>
      <w:proofErr w:type="spellEnd"/>
      <w:r w:rsidRPr="00662D8D">
        <w:rPr>
          <w:rFonts w:asciiTheme="minorHAnsi" w:hAnsiTheme="minorHAnsi" w:cstheme="minorHAnsi"/>
          <w:sz w:val="16"/>
          <w:szCs w:val="16"/>
        </w:rPr>
        <w:t xml:space="preserve">, G. L., Armstrong, G. D., &amp; </w:t>
      </w:r>
      <w:proofErr w:type="spellStart"/>
      <w:r w:rsidRPr="00662D8D">
        <w:rPr>
          <w:rFonts w:asciiTheme="minorHAnsi" w:hAnsiTheme="minorHAnsi" w:cstheme="minorHAnsi"/>
          <w:sz w:val="16"/>
          <w:szCs w:val="16"/>
        </w:rPr>
        <w:t>Hutkins</w:t>
      </w:r>
      <w:proofErr w:type="spellEnd"/>
      <w:r w:rsidRPr="00662D8D">
        <w:rPr>
          <w:rFonts w:asciiTheme="minorHAnsi" w:hAnsiTheme="minorHAnsi" w:cstheme="minorHAnsi"/>
          <w:sz w:val="16"/>
          <w:szCs w:val="16"/>
        </w:rPr>
        <w:t xml:space="preserve">, R. W. (2006). Prebiotic </w:t>
      </w:r>
      <w:proofErr w:type="spellStart"/>
      <w:r w:rsidRPr="00662D8D">
        <w:rPr>
          <w:rFonts w:asciiTheme="minorHAnsi" w:hAnsiTheme="minorHAnsi" w:cstheme="minorHAnsi"/>
          <w:sz w:val="16"/>
          <w:szCs w:val="16"/>
        </w:rPr>
        <w:t>galactooligosaccharides</w:t>
      </w:r>
      <w:proofErr w:type="spellEnd"/>
      <w:r w:rsidRPr="00662D8D">
        <w:rPr>
          <w:rFonts w:asciiTheme="minorHAnsi" w:hAnsiTheme="minorHAnsi" w:cstheme="minorHAnsi"/>
          <w:sz w:val="16"/>
          <w:szCs w:val="16"/>
        </w:rPr>
        <w:t xml:space="preserve"> reduce adherence of </w:t>
      </w:r>
      <w:proofErr w:type="spellStart"/>
      <w:r w:rsidRPr="00662D8D">
        <w:rPr>
          <w:rFonts w:asciiTheme="minorHAnsi" w:hAnsiTheme="minorHAnsi" w:cstheme="minorHAnsi"/>
          <w:sz w:val="16"/>
          <w:szCs w:val="16"/>
        </w:rPr>
        <w:t>enteropathogenic</w:t>
      </w:r>
      <w:proofErr w:type="spellEnd"/>
      <w:r w:rsidRPr="00662D8D">
        <w:rPr>
          <w:rFonts w:asciiTheme="minorHAnsi" w:hAnsiTheme="minorHAnsi" w:cstheme="minorHAnsi"/>
          <w:sz w:val="16"/>
          <w:szCs w:val="16"/>
        </w:rPr>
        <w:t xml:space="preserve"> Escherichia coli to tissue culture cells. </w:t>
      </w:r>
      <w:proofErr w:type="gramStart"/>
      <w:r w:rsidRPr="00662D8D">
        <w:rPr>
          <w:rFonts w:asciiTheme="minorHAnsi" w:hAnsiTheme="minorHAnsi" w:cstheme="minorHAnsi"/>
          <w:sz w:val="16"/>
          <w:szCs w:val="16"/>
        </w:rPr>
        <w:t>Infection and Immunity, 74(12), 6920–8.</w:t>
      </w:r>
      <w:proofErr w:type="gramEnd"/>
      <w:r w:rsidRPr="00662D8D">
        <w:rPr>
          <w:rFonts w:asciiTheme="minorHAnsi" w:hAnsiTheme="minorHAnsi" w:cstheme="minorHAnsi"/>
          <w:sz w:val="16"/>
          <w:szCs w:val="16"/>
        </w:rPr>
        <w:t xml:space="preserve"> </w:t>
      </w:r>
      <w:hyperlink r:id="rId14" w:history="1">
        <w:r w:rsidR="00662D8D" w:rsidRPr="00662D8D">
          <w:rPr>
            <w:rStyle w:val="Hipervnculo"/>
            <w:rFonts w:asciiTheme="minorHAnsi" w:hAnsiTheme="minorHAnsi" w:cstheme="minorHAnsi"/>
            <w:sz w:val="16"/>
            <w:szCs w:val="16"/>
          </w:rPr>
          <w:t>https://doi.org/10.1128/IAI.01030-06</w:t>
        </w:r>
      </w:hyperlink>
    </w:p>
    <w:p w:rsidR="00E7370A" w:rsidRPr="00662D8D" w:rsidRDefault="00E7370A" w:rsidP="00EA45EA">
      <w:pPr>
        <w:pStyle w:val="Textoindependiente"/>
        <w:spacing w:before="2"/>
        <w:ind w:left="720"/>
        <w:rPr>
          <w:rFonts w:asciiTheme="minorHAnsi" w:hAnsiTheme="minorHAnsi" w:cstheme="minorHAnsi"/>
          <w:sz w:val="16"/>
          <w:szCs w:val="16"/>
        </w:rPr>
      </w:pPr>
    </w:p>
    <w:p w:rsidR="00662D8D" w:rsidRPr="00662D8D" w:rsidRDefault="00662D8D" w:rsidP="00662D8D">
      <w:pPr>
        <w:pStyle w:val="Prrafodelista"/>
        <w:tabs>
          <w:tab w:val="left" w:pos="384"/>
        </w:tabs>
        <w:ind w:left="720" w:right="117" w:firstLine="0"/>
        <w:rPr>
          <w:rFonts w:asciiTheme="minorHAnsi" w:hAnsiTheme="minorHAnsi" w:cstheme="minorHAnsi"/>
          <w:sz w:val="16"/>
          <w:szCs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7370A">
      <w:pPr>
        <w:spacing w:before="92"/>
        <w:ind w:right="4234"/>
        <w:rPr>
          <w:rFonts w:ascii="Arial"/>
        </w:rPr>
      </w:pPr>
      <w:r>
        <w:rPr>
          <w:noProof/>
        </w:rPr>
        <w:t xml:space="preserve">    </w:t>
      </w:r>
      <w:r w:rsidR="00E7370A">
        <w:rPr>
          <w:noProof/>
          <w:lang w:val="es-ES" w:eastAsia="es-ES"/>
        </w:rPr>
        <w:drawing>
          <wp:inline distT="0" distB="0" distL="0" distR="0" wp14:anchorId="3CE3D119" wp14:editId="0AD992C6">
            <wp:extent cx="612850" cy="614477"/>
            <wp:effectExtent l="0" t="0" r="0" b="0"/>
            <wp:docPr id="1" name="Imagen 1" descr="C:\Users\C N T\Documents\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 N T\Documents\fot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273" cy="616906"/>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Pr="004A2516" w:rsidRDefault="00E7370A" w:rsidP="00EA45EA">
      <w:pPr>
        <w:spacing w:before="41" w:line="154" w:lineRule="exact"/>
        <w:ind w:left="720" w:right="231"/>
        <w:jc w:val="both"/>
        <w:rPr>
          <w:rFonts w:ascii="Arial" w:hAnsi="Arial" w:cs="Arial"/>
          <w:sz w:val="16"/>
          <w:szCs w:val="16"/>
        </w:rPr>
      </w:pPr>
      <w:proofErr w:type="spellStart"/>
      <w:r w:rsidRPr="004A2516">
        <w:rPr>
          <w:rFonts w:ascii="Arial" w:hAnsi="Arial" w:cs="Arial"/>
          <w:sz w:val="16"/>
          <w:szCs w:val="16"/>
        </w:rPr>
        <w:t>Germán</w:t>
      </w:r>
      <w:proofErr w:type="spellEnd"/>
      <w:r w:rsidRPr="004A2516">
        <w:rPr>
          <w:rFonts w:ascii="Arial" w:hAnsi="Arial" w:cs="Arial"/>
          <w:sz w:val="16"/>
          <w:szCs w:val="16"/>
        </w:rPr>
        <w:t xml:space="preserve"> Castro</w:t>
      </w:r>
      <w:r w:rsidR="00A9710C" w:rsidRPr="004A2516">
        <w:rPr>
          <w:rFonts w:ascii="Arial" w:hAnsi="Arial" w:cs="Arial"/>
          <w:sz w:val="16"/>
          <w:szCs w:val="16"/>
        </w:rPr>
        <w:t xml:space="preserve"> has </w:t>
      </w:r>
      <w:r w:rsidRPr="004A2516">
        <w:rPr>
          <w:rFonts w:ascii="Arial" w:hAnsi="Arial" w:cs="Arial"/>
          <w:sz w:val="16"/>
          <w:szCs w:val="16"/>
        </w:rPr>
        <w:t>his expertise in food and biochemical engineering</w:t>
      </w:r>
      <w:r w:rsidR="00A9710C" w:rsidRPr="004A2516">
        <w:rPr>
          <w:rFonts w:ascii="Arial" w:hAnsi="Arial" w:cs="Arial"/>
          <w:sz w:val="16"/>
          <w:szCs w:val="16"/>
        </w:rPr>
        <w:t xml:space="preserve">. </w:t>
      </w:r>
      <w:r w:rsidRPr="004A2516">
        <w:rPr>
          <w:rFonts w:ascii="Arial" w:hAnsi="Arial" w:cs="Arial"/>
          <w:sz w:val="16"/>
          <w:szCs w:val="16"/>
        </w:rPr>
        <w:t xml:space="preserve">He </w:t>
      </w:r>
      <w:r w:rsidR="00A9710C" w:rsidRPr="004A2516">
        <w:rPr>
          <w:rFonts w:ascii="Arial" w:hAnsi="Arial" w:cs="Arial"/>
          <w:sz w:val="16"/>
          <w:szCs w:val="16"/>
        </w:rPr>
        <w:t>has</w:t>
      </w:r>
      <w:r w:rsidR="000E2911" w:rsidRPr="004A2516">
        <w:rPr>
          <w:rFonts w:ascii="Arial" w:hAnsi="Arial" w:cs="Arial"/>
          <w:sz w:val="16"/>
          <w:szCs w:val="16"/>
        </w:rPr>
        <w:t xml:space="preserve"> </w:t>
      </w:r>
      <w:r w:rsidR="00A9710C" w:rsidRPr="004A2516">
        <w:rPr>
          <w:rFonts w:ascii="Arial" w:hAnsi="Arial" w:cs="Arial"/>
          <w:sz w:val="16"/>
          <w:szCs w:val="16"/>
        </w:rPr>
        <w:t>built</w:t>
      </w:r>
      <w:r w:rsidR="000E2911" w:rsidRPr="004A2516">
        <w:rPr>
          <w:rFonts w:ascii="Arial" w:hAnsi="Arial" w:cs="Arial"/>
          <w:sz w:val="16"/>
          <w:szCs w:val="16"/>
        </w:rPr>
        <w:t xml:space="preserve"> </w:t>
      </w:r>
      <w:r w:rsidR="00A9710C" w:rsidRPr="004A2516">
        <w:rPr>
          <w:rFonts w:ascii="Arial" w:hAnsi="Arial" w:cs="Arial"/>
          <w:sz w:val="16"/>
          <w:szCs w:val="16"/>
        </w:rPr>
        <w:t>this</w:t>
      </w:r>
      <w:r w:rsidR="000E2911" w:rsidRPr="004A2516">
        <w:rPr>
          <w:rFonts w:ascii="Arial" w:hAnsi="Arial" w:cs="Arial"/>
          <w:sz w:val="16"/>
          <w:szCs w:val="16"/>
        </w:rPr>
        <w:t xml:space="preserve"> </w:t>
      </w:r>
      <w:r w:rsidRPr="004A2516">
        <w:rPr>
          <w:rFonts w:ascii="Arial" w:hAnsi="Arial" w:cs="Arial"/>
          <w:sz w:val="16"/>
          <w:szCs w:val="16"/>
        </w:rPr>
        <w:t xml:space="preserve">profile </w:t>
      </w:r>
      <w:r w:rsidR="00A9710C" w:rsidRPr="004A2516">
        <w:rPr>
          <w:rFonts w:ascii="Arial" w:hAnsi="Arial" w:cs="Arial"/>
          <w:sz w:val="16"/>
          <w:szCs w:val="16"/>
        </w:rPr>
        <w:t>after</w:t>
      </w:r>
      <w:r w:rsidR="000E2911" w:rsidRPr="004A2516">
        <w:rPr>
          <w:rFonts w:ascii="Arial" w:hAnsi="Arial" w:cs="Arial"/>
          <w:sz w:val="16"/>
          <w:szCs w:val="16"/>
        </w:rPr>
        <w:t xml:space="preserve"> </w:t>
      </w:r>
      <w:r w:rsidR="00A9710C" w:rsidRPr="004A2516">
        <w:rPr>
          <w:rFonts w:ascii="Arial" w:hAnsi="Arial" w:cs="Arial"/>
          <w:sz w:val="16"/>
          <w:szCs w:val="16"/>
        </w:rPr>
        <w:t>years</w:t>
      </w:r>
      <w:r w:rsidR="000E2911" w:rsidRPr="004A2516">
        <w:rPr>
          <w:rFonts w:ascii="Arial" w:hAnsi="Arial" w:cs="Arial"/>
          <w:sz w:val="16"/>
          <w:szCs w:val="16"/>
        </w:rPr>
        <w:t xml:space="preserve"> </w:t>
      </w:r>
      <w:r w:rsidR="00A9710C" w:rsidRPr="004A2516">
        <w:rPr>
          <w:rFonts w:ascii="Arial" w:hAnsi="Arial" w:cs="Arial"/>
          <w:sz w:val="16"/>
          <w:szCs w:val="16"/>
        </w:rPr>
        <w:t>of</w:t>
      </w:r>
      <w:r w:rsidR="000E2911" w:rsidRPr="004A2516">
        <w:rPr>
          <w:rFonts w:ascii="Arial" w:hAnsi="Arial" w:cs="Arial"/>
          <w:sz w:val="16"/>
          <w:szCs w:val="16"/>
        </w:rPr>
        <w:t xml:space="preserve"> </w:t>
      </w:r>
      <w:r w:rsidR="00A9710C" w:rsidRPr="004A2516">
        <w:rPr>
          <w:rFonts w:ascii="Arial" w:hAnsi="Arial" w:cs="Arial"/>
          <w:sz w:val="16"/>
          <w:szCs w:val="16"/>
        </w:rPr>
        <w:t>experience</w:t>
      </w:r>
      <w:r w:rsidR="000E2911" w:rsidRPr="004A2516">
        <w:rPr>
          <w:rFonts w:ascii="Arial" w:hAnsi="Arial" w:cs="Arial"/>
          <w:sz w:val="16"/>
          <w:szCs w:val="16"/>
        </w:rPr>
        <w:t xml:space="preserve"> </w:t>
      </w:r>
      <w:r w:rsidR="00A9710C" w:rsidRPr="004A2516">
        <w:rPr>
          <w:rFonts w:ascii="Arial" w:hAnsi="Arial" w:cs="Arial"/>
          <w:sz w:val="16"/>
          <w:szCs w:val="16"/>
        </w:rPr>
        <w:t>in</w:t>
      </w:r>
      <w:r w:rsidR="000E2911" w:rsidRPr="004A2516">
        <w:rPr>
          <w:rFonts w:ascii="Arial" w:hAnsi="Arial" w:cs="Arial"/>
          <w:sz w:val="16"/>
          <w:szCs w:val="16"/>
        </w:rPr>
        <w:t xml:space="preserve"> </w:t>
      </w:r>
      <w:r w:rsidR="00A9710C" w:rsidRPr="004A2516">
        <w:rPr>
          <w:rFonts w:ascii="Arial" w:hAnsi="Arial" w:cs="Arial"/>
          <w:sz w:val="16"/>
          <w:szCs w:val="16"/>
        </w:rPr>
        <w:t>research</w:t>
      </w:r>
      <w:r w:rsidRPr="004A2516">
        <w:rPr>
          <w:rFonts w:ascii="Arial" w:hAnsi="Arial" w:cs="Arial"/>
          <w:sz w:val="16"/>
          <w:szCs w:val="16"/>
        </w:rPr>
        <w:t xml:space="preserve"> and</w:t>
      </w:r>
      <w:r w:rsidR="000E2911" w:rsidRPr="004A2516">
        <w:rPr>
          <w:rFonts w:ascii="Arial" w:hAnsi="Arial" w:cs="Arial"/>
          <w:sz w:val="16"/>
          <w:szCs w:val="16"/>
        </w:rPr>
        <w:t xml:space="preserve"> </w:t>
      </w:r>
      <w:r w:rsidR="00A9710C" w:rsidRPr="004A2516">
        <w:rPr>
          <w:rFonts w:ascii="Arial" w:hAnsi="Arial" w:cs="Arial"/>
          <w:sz w:val="16"/>
          <w:szCs w:val="16"/>
        </w:rPr>
        <w:t>teaching</w:t>
      </w:r>
      <w:r w:rsidR="000E2911" w:rsidRPr="004A2516">
        <w:rPr>
          <w:rFonts w:ascii="Arial" w:hAnsi="Arial" w:cs="Arial"/>
          <w:sz w:val="16"/>
          <w:szCs w:val="16"/>
        </w:rPr>
        <w:t xml:space="preserve"> </w:t>
      </w:r>
      <w:r w:rsidRPr="004A2516">
        <w:rPr>
          <w:rFonts w:ascii="Arial" w:hAnsi="Arial" w:cs="Arial"/>
          <w:sz w:val="16"/>
          <w:szCs w:val="16"/>
        </w:rPr>
        <w:t xml:space="preserve">in </w:t>
      </w:r>
      <w:r w:rsidR="00A9710C" w:rsidRPr="004A2516">
        <w:rPr>
          <w:rFonts w:ascii="Arial" w:hAnsi="Arial" w:cs="Arial"/>
          <w:sz w:val="16"/>
          <w:szCs w:val="16"/>
        </w:rPr>
        <w:t xml:space="preserve">education institutions. </w:t>
      </w:r>
      <w:r w:rsidR="00EA45EA" w:rsidRPr="004A2516">
        <w:rPr>
          <w:rFonts w:ascii="Arial" w:hAnsi="Arial" w:cs="Arial"/>
          <w:sz w:val="16"/>
          <w:szCs w:val="16"/>
        </w:rPr>
        <w:t>He has developed biochemical researches of alcoholic and lactic fermentation, as well as enzymatic reaction process</w:t>
      </w:r>
      <w:r w:rsidR="00A9710C" w:rsidRPr="004A2516">
        <w:rPr>
          <w:rFonts w:ascii="Arial" w:hAnsi="Arial" w:cs="Arial"/>
          <w:sz w:val="16"/>
          <w:szCs w:val="16"/>
        </w:rPr>
        <w:t>.</w:t>
      </w:r>
      <w:r w:rsidR="00EA45EA" w:rsidRPr="004A2516">
        <w:rPr>
          <w:rFonts w:ascii="Arial" w:hAnsi="Arial" w:cs="Arial"/>
          <w:sz w:val="16"/>
          <w:szCs w:val="16"/>
        </w:rPr>
        <w:t xml:space="preserve"> Food process engineering experience is based on design and building of processing </w:t>
      </w:r>
      <w:proofErr w:type="spellStart"/>
      <w:r w:rsidR="00EA45EA" w:rsidRPr="004A2516">
        <w:rPr>
          <w:rFonts w:ascii="Arial" w:hAnsi="Arial" w:cs="Arial"/>
          <w:sz w:val="16"/>
          <w:szCs w:val="16"/>
        </w:rPr>
        <w:t>equipments</w:t>
      </w:r>
      <w:proofErr w:type="spellEnd"/>
      <w:r w:rsidR="00EA45EA" w:rsidRPr="004A2516">
        <w:rPr>
          <w:rFonts w:ascii="Arial" w:hAnsi="Arial" w:cs="Arial"/>
          <w:sz w:val="16"/>
          <w:szCs w:val="16"/>
        </w:rPr>
        <w:t xml:space="preserve"> and teaching</w:t>
      </w:r>
      <w:r w:rsidR="00625939" w:rsidRPr="004A2516">
        <w:rPr>
          <w:rFonts w:ascii="Arial" w:hAnsi="Arial" w:cs="Arial"/>
          <w:sz w:val="16"/>
          <w:szCs w:val="16"/>
        </w:rPr>
        <w:t xml:space="preserve"> unit operations, fluid mechanics and thermodynamics.</w:t>
      </w:r>
      <w:r w:rsidR="00EA45EA" w:rsidRPr="004A2516">
        <w:rPr>
          <w:rFonts w:ascii="Arial" w:hAnsi="Arial" w:cs="Arial"/>
          <w:sz w:val="16"/>
          <w:szCs w:val="16"/>
        </w:rPr>
        <w:t xml:space="preserve">  </w:t>
      </w:r>
    </w:p>
    <w:p w:rsidR="00AE3E37" w:rsidRPr="004A2516" w:rsidRDefault="00A9710C">
      <w:pPr>
        <w:spacing w:before="62"/>
        <w:ind w:left="4217" w:right="4235"/>
        <w:jc w:val="center"/>
        <w:rPr>
          <w:rFonts w:ascii="Arial" w:hAnsi="Arial" w:cs="Arial"/>
          <w:sz w:val="16"/>
          <w:szCs w:val="16"/>
        </w:rPr>
      </w:pPr>
      <w:r w:rsidRPr="004A2516">
        <w:rPr>
          <w:rFonts w:ascii="Arial" w:hAnsi="Arial" w:cs="Arial"/>
          <w:sz w:val="16"/>
          <w:szCs w:val="16"/>
        </w:rPr>
        <w:t xml:space="preserve">Email: </w:t>
      </w:r>
      <w:r w:rsidR="00662D8D" w:rsidRPr="004A2516">
        <w:rPr>
          <w:rFonts w:ascii="Arial" w:hAnsi="Arial" w:cs="Arial"/>
          <w:sz w:val="16"/>
          <w:szCs w:val="16"/>
        </w:rPr>
        <w:t>g</w:t>
      </w:r>
      <w:r w:rsidR="004A2516">
        <w:rPr>
          <w:rFonts w:ascii="Arial" w:hAnsi="Arial" w:cs="Arial"/>
          <w:sz w:val="16"/>
          <w:szCs w:val="16"/>
        </w:rPr>
        <w:t>a</w:t>
      </w:r>
      <w:r w:rsidR="00662D8D" w:rsidRPr="004A2516">
        <w:rPr>
          <w:rFonts w:ascii="Arial" w:hAnsi="Arial" w:cs="Arial"/>
          <w:sz w:val="16"/>
          <w:szCs w:val="16"/>
        </w:rPr>
        <w:t>castro@unisalle.edu.co</w:t>
      </w:r>
    </w:p>
    <w:p w:rsidR="00AE3E37" w:rsidRPr="004A2516" w:rsidRDefault="00292ED9">
      <w:pPr>
        <w:pStyle w:val="Textoindependiente"/>
        <w:spacing w:before="2"/>
        <w:rPr>
          <w:rFonts w:ascii="Arial"/>
          <w:sz w:val="16"/>
          <w:szCs w:val="16"/>
        </w:rPr>
      </w:pPr>
      <w:r w:rsidRPr="004A2516">
        <w:rPr>
          <w:noProof/>
          <w:sz w:val="16"/>
          <w:szCs w:val="16"/>
          <w:lang w:val="es-ES" w:eastAsia="es-ES"/>
        </w:rPr>
        <mc:AlternateContent>
          <mc:Choice Requires="wps">
            <w:drawing>
              <wp:anchor distT="0" distB="0" distL="0" distR="0" simplePos="0" relativeHeight="1072" behindDoc="0" locked="0" layoutInCell="1" allowOverlap="1" wp14:anchorId="2A0B540D" wp14:editId="0FA44BD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302" w:rsidRDefault="00112302">
      <w:r>
        <w:separator/>
      </w:r>
    </w:p>
  </w:endnote>
  <w:endnote w:type="continuationSeparator" w:id="0">
    <w:p w:rsidR="00112302" w:rsidRDefault="00112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302" w:rsidRDefault="00112302">
      <w:r>
        <w:separator/>
      </w:r>
    </w:p>
  </w:footnote>
  <w:footnote w:type="continuationSeparator" w:id="0">
    <w:p w:rsidR="00112302" w:rsidRDefault="001123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0931F7"/>
    <w:multiLevelType w:val="hybridMultilevel"/>
    <w:tmpl w:val="1CFEA76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6451"/>
    <w:rsid w:val="000E2911"/>
    <w:rsid w:val="00112302"/>
    <w:rsid w:val="001263DF"/>
    <w:rsid w:val="002455EC"/>
    <w:rsid w:val="00292ED9"/>
    <w:rsid w:val="00404E5B"/>
    <w:rsid w:val="00414F7B"/>
    <w:rsid w:val="004355DC"/>
    <w:rsid w:val="004749B4"/>
    <w:rsid w:val="00494130"/>
    <w:rsid w:val="004A2516"/>
    <w:rsid w:val="004F3523"/>
    <w:rsid w:val="005973B9"/>
    <w:rsid w:val="005B3A56"/>
    <w:rsid w:val="006060CE"/>
    <w:rsid w:val="00625939"/>
    <w:rsid w:val="0063497F"/>
    <w:rsid w:val="00662D8D"/>
    <w:rsid w:val="00873DF0"/>
    <w:rsid w:val="008756E6"/>
    <w:rsid w:val="008A08B6"/>
    <w:rsid w:val="0094269C"/>
    <w:rsid w:val="009B2D44"/>
    <w:rsid w:val="00A07E82"/>
    <w:rsid w:val="00A66F57"/>
    <w:rsid w:val="00A9710C"/>
    <w:rsid w:val="00AE3E37"/>
    <w:rsid w:val="00B21A57"/>
    <w:rsid w:val="00C33602"/>
    <w:rsid w:val="00CD6F55"/>
    <w:rsid w:val="00DE3104"/>
    <w:rsid w:val="00E26B10"/>
    <w:rsid w:val="00E7370A"/>
    <w:rsid w:val="00EA45E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769265">
      <w:bodyDiv w:val="1"/>
      <w:marLeft w:val="0"/>
      <w:marRight w:val="0"/>
      <w:marTop w:val="0"/>
      <w:marBottom w:val="0"/>
      <w:divBdr>
        <w:top w:val="none" w:sz="0" w:space="0" w:color="auto"/>
        <w:left w:val="none" w:sz="0" w:space="0" w:color="auto"/>
        <w:bottom w:val="none" w:sz="0" w:space="0" w:color="auto"/>
        <w:right w:val="none" w:sz="0" w:space="0" w:color="auto"/>
      </w:divBdr>
    </w:div>
    <w:div w:id="455107622">
      <w:bodyDiv w:val="1"/>
      <w:marLeft w:val="0"/>
      <w:marRight w:val="0"/>
      <w:marTop w:val="0"/>
      <w:marBottom w:val="0"/>
      <w:divBdr>
        <w:top w:val="none" w:sz="0" w:space="0" w:color="auto"/>
        <w:left w:val="none" w:sz="0" w:space="0" w:color="auto"/>
        <w:bottom w:val="none" w:sz="0" w:space="0" w:color="auto"/>
        <w:right w:val="none" w:sz="0" w:space="0" w:color="auto"/>
      </w:divBdr>
      <w:divsChild>
        <w:div w:id="38626469">
          <w:marLeft w:val="547"/>
          <w:marRight w:val="0"/>
          <w:marTop w:val="86"/>
          <w:marBottom w:val="0"/>
          <w:divBdr>
            <w:top w:val="none" w:sz="0" w:space="0" w:color="auto"/>
            <w:left w:val="none" w:sz="0" w:space="0" w:color="auto"/>
            <w:bottom w:val="none" w:sz="0" w:space="0" w:color="auto"/>
            <w:right w:val="none" w:sz="0" w:space="0" w:color="auto"/>
          </w:divBdr>
        </w:div>
        <w:div w:id="30230679">
          <w:marLeft w:val="547"/>
          <w:marRight w:val="0"/>
          <w:marTop w:val="86"/>
          <w:marBottom w:val="0"/>
          <w:divBdr>
            <w:top w:val="none" w:sz="0" w:space="0" w:color="auto"/>
            <w:left w:val="none" w:sz="0" w:space="0" w:color="auto"/>
            <w:bottom w:val="none" w:sz="0" w:space="0" w:color="auto"/>
            <w:right w:val="none" w:sz="0" w:space="0" w:color="auto"/>
          </w:divBdr>
        </w:div>
        <w:div w:id="519466996">
          <w:marLeft w:val="547"/>
          <w:marRight w:val="0"/>
          <w:marTop w:val="86"/>
          <w:marBottom w:val="0"/>
          <w:divBdr>
            <w:top w:val="none" w:sz="0" w:space="0" w:color="auto"/>
            <w:left w:val="none" w:sz="0" w:space="0" w:color="auto"/>
            <w:bottom w:val="none" w:sz="0" w:space="0" w:color="auto"/>
            <w:right w:val="none" w:sz="0" w:space="0" w:color="auto"/>
          </w:divBdr>
        </w:div>
        <w:div w:id="788478937">
          <w:marLeft w:val="547"/>
          <w:marRight w:val="0"/>
          <w:marTop w:val="86"/>
          <w:marBottom w:val="0"/>
          <w:divBdr>
            <w:top w:val="none" w:sz="0" w:space="0" w:color="auto"/>
            <w:left w:val="none" w:sz="0" w:space="0" w:color="auto"/>
            <w:bottom w:val="none" w:sz="0" w:space="0" w:color="auto"/>
            <w:right w:val="none" w:sz="0" w:space="0" w:color="auto"/>
          </w:divBdr>
        </w:div>
        <w:div w:id="1621104656">
          <w:marLeft w:val="547"/>
          <w:marRight w:val="0"/>
          <w:marTop w:val="86"/>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1874001">
      <w:bodyDiv w:val="1"/>
      <w:marLeft w:val="0"/>
      <w:marRight w:val="0"/>
      <w:marTop w:val="0"/>
      <w:marBottom w:val="0"/>
      <w:divBdr>
        <w:top w:val="none" w:sz="0" w:space="0" w:color="auto"/>
        <w:left w:val="none" w:sz="0" w:space="0" w:color="auto"/>
        <w:bottom w:val="none" w:sz="0" w:space="0" w:color="auto"/>
        <w:right w:val="none" w:sz="0" w:space="0" w:color="auto"/>
      </w:divBdr>
      <w:divsChild>
        <w:div w:id="1450666870">
          <w:marLeft w:val="547"/>
          <w:marRight w:val="0"/>
          <w:marTop w:val="86"/>
          <w:marBottom w:val="0"/>
          <w:divBdr>
            <w:top w:val="none" w:sz="0" w:space="0" w:color="auto"/>
            <w:left w:val="none" w:sz="0" w:space="0" w:color="auto"/>
            <w:bottom w:val="none" w:sz="0" w:space="0" w:color="auto"/>
            <w:right w:val="none" w:sz="0" w:space="0" w:color="auto"/>
          </w:divBdr>
        </w:div>
        <w:div w:id="378633543">
          <w:marLeft w:val="547"/>
          <w:marRight w:val="0"/>
          <w:marTop w:val="86"/>
          <w:marBottom w:val="0"/>
          <w:divBdr>
            <w:top w:val="none" w:sz="0" w:space="0" w:color="auto"/>
            <w:left w:val="none" w:sz="0" w:space="0" w:color="auto"/>
            <w:bottom w:val="none" w:sz="0" w:space="0" w:color="auto"/>
            <w:right w:val="none" w:sz="0" w:space="0" w:color="auto"/>
          </w:divBdr>
        </w:div>
        <w:div w:id="638464375">
          <w:marLeft w:val="547"/>
          <w:marRight w:val="0"/>
          <w:marTop w:val="86"/>
          <w:marBottom w:val="0"/>
          <w:divBdr>
            <w:top w:val="none" w:sz="0" w:space="0" w:color="auto"/>
            <w:left w:val="none" w:sz="0" w:space="0" w:color="auto"/>
            <w:bottom w:val="none" w:sz="0" w:space="0" w:color="auto"/>
            <w:right w:val="none" w:sz="0" w:space="0" w:color="auto"/>
          </w:divBdr>
        </w:div>
        <w:div w:id="964235390">
          <w:marLeft w:val="547"/>
          <w:marRight w:val="0"/>
          <w:marTop w:val="86"/>
          <w:marBottom w:val="0"/>
          <w:divBdr>
            <w:top w:val="none" w:sz="0" w:space="0" w:color="auto"/>
            <w:left w:val="none" w:sz="0" w:space="0" w:color="auto"/>
            <w:bottom w:val="none" w:sz="0" w:space="0" w:color="auto"/>
            <w:right w:val="none" w:sz="0" w:space="0" w:color="auto"/>
          </w:divBdr>
        </w:div>
        <w:div w:id="2057703271">
          <w:marLeft w:val="547"/>
          <w:marRight w:val="0"/>
          <w:marTop w:val="8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16/j.copbio.2009.01.002.Mechanism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5923/j.scit.20110101.0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2882156"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doi.org/10.1016/S0141-0229(03)00098-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128/IAI.0103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712</Words>
  <Characters>3918</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 N T</cp:lastModifiedBy>
  <cp:revision>4</cp:revision>
  <dcterms:created xsi:type="dcterms:W3CDTF">2017-11-22T12:42:00Z</dcterms:created>
  <dcterms:modified xsi:type="dcterms:W3CDTF">2017-11-22T13:08:00Z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