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D83" w:rsidRPr="00777D20" w:rsidRDefault="005C0D83" w:rsidP="005C0D83">
      <w:pPr>
        <w:jc w:val="center"/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</w:pPr>
      <w:r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  <w:t xml:space="preserve">Different Cell Culture Mediums </w:t>
      </w:r>
      <w:r w:rsidR="00777D20"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  <w:t>S</w:t>
      </w:r>
      <w:r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  <w:t xml:space="preserve">how Various Effects on CD8 </w:t>
      </w:r>
      <w:r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vertAlign w:val="superscript"/>
          <w:lang w:bidi="fa-IR"/>
        </w:rPr>
        <w:t>+</w:t>
      </w:r>
      <w:r w:rsidRPr="00777D20">
        <w:rPr>
          <w:rFonts w:asciiTheme="majorBidi" w:hAnsiTheme="majorBidi" w:cstheme="majorBidi"/>
          <w:color w:val="548DD4" w:themeColor="text2" w:themeTint="99"/>
          <w:sz w:val="32"/>
          <w:szCs w:val="32"/>
          <w:lang w:bidi="fa-IR"/>
        </w:rPr>
        <w:t xml:space="preserve"> </w:t>
      </w:r>
      <w:r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  <w:t>T</w:t>
      </w:r>
      <w:r w:rsidRPr="00777D20">
        <w:rPr>
          <w:rFonts w:asciiTheme="majorBidi" w:hAnsiTheme="majorBidi" w:cstheme="majorBidi"/>
          <w:color w:val="548DD4" w:themeColor="text2" w:themeTint="99"/>
          <w:sz w:val="32"/>
          <w:szCs w:val="32"/>
          <w:lang w:bidi="fa-IR"/>
        </w:rPr>
        <w:t xml:space="preserve"> </w:t>
      </w:r>
      <w:r w:rsidRPr="00777D20"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  <w:lang w:bidi="fa-IR"/>
        </w:rPr>
        <w:t>Cells Expansion: A Bioinformatics Study</w:t>
      </w:r>
    </w:p>
    <w:p w:rsidR="005C0D83" w:rsidRDefault="005C0D83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777D20">
      <w:pPr>
        <w:pStyle w:val="BodyText"/>
        <w:spacing w:before="3"/>
        <w:rPr>
          <w:rFonts w:ascii="Arial"/>
        </w:rPr>
      </w:pPr>
      <w:r>
        <w:rPr>
          <w:rFonts w:ascii="Arial"/>
        </w:rPr>
        <w:t>Arsalan Jalili, Royan Institute, Iran</w:t>
      </w:r>
    </w:p>
    <w:p w:rsidR="00777D20" w:rsidRDefault="00777D20">
      <w:pPr>
        <w:pStyle w:val="BodyText"/>
        <w:spacing w:before="3"/>
        <w:rPr>
          <w:rFonts w:ascii="Arial"/>
        </w:rPr>
      </w:pPr>
      <w:r>
        <w:rPr>
          <w:rFonts w:ascii="Arial"/>
        </w:rPr>
        <w:t>Elham Roshandel, Shahid Beheshti University, Iran</w:t>
      </w:r>
    </w:p>
    <w:p w:rsidR="00777D20" w:rsidRDefault="00777D20">
      <w:pPr>
        <w:pStyle w:val="BodyText"/>
        <w:spacing w:before="3"/>
        <w:rPr>
          <w:rFonts w:ascii="Arial"/>
        </w:rPr>
      </w:pPr>
      <w:r>
        <w:rPr>
          <w:rFonts w:ascii="Arial"/>
        </w:rPr>
        <w:t>Ahmad Bereimipour, Royan Institute, Iran</w:t>
      </w:r>
    </w:p>
    <w:p w:rsidR="00777D20" w:rsidRDefault="00777D20">
      <w:pPr>
        <w:pStyle w:val="BodyText"/>
        <w:spacing w:before="3"/>
        <w:rPr>
          <w:rFonts w:ascii="Arial"/>
        </w:rPr>
      </w:pPr>
      <w:r>
        <w:rPr>
          <w:rFonts w:ascii="Arial"/>
        </w:rPr>
        <w:t>Abbas Hajifathali, Shahid Beheshti University, Iran</w:t>
      </w:r>
    </w:p>
    <w:p w:rsidR="00777D20" w:rsidRDefault="00777D20">
      <w:pPr>
        <w:pStyle w:val="BodyText"/>
        <w:spacing w:before="3"/>
        <w:rPr>
          <w:rFonts w:ascii="Arial"/>
        </w:rPr>
      </w:pPr>
      <w:r>
        <w:rPr>
          <w:rFonts w:ascii="Arial"/>
        </w:rPr>
        <w:t>Nasser Aghdami, Royan Institute, Iran</w:t>
      </w:r>
    </w:p>
    <w:p w:rsidR="00AE3E37" w:rsidRDefault="00AE3E37">
      <w:pPr>
        <w:rPr>
          <w:rFonts w:ascii="Arial"/>
          <w:sz w:val="21"/>
        </w:rPr>
      </w:pPr>
    </w:p>
    <w:p w:rsidR="00C338E5" w:rsidRDefault="00C338E5">
      <w:pPr>
        <w:rPr>
          <w:rFonts w:ascii="Arial"/>
          <w:sz w:val="21"/>
        </w:rPr>
        <w:sectPr w:rsidR="00C338E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00BF4" w:rsidRPr="008574F9" w:rsidRDefault="00A00BF4" w:rsidP="00A00BF4">
      <w:pPr>
        <w:rPr>
          <w:rFonts w:asciiTheme="majorBidi" w:hAnsiTheme="majorBidi" w:cstheme="majorBidi"/>
          <w:b/>
          <w:bCs/>
          <w:lang w:bidi="fa-IR"/>
        </w:rPr>
      </w:pPr>
      <w:r w:rsidRPr="008574F9">
        <w:rPr>
          <w:rFonts w:asciiTheme="majorBidi" w:hAnsiTheme="majorBidi" w:cstheme="majorBidi"/>
          <w:b/>
          <w:bCs/>
          <w:lang w:bidi="fa-IR"/>
        </w:rPr>
        <w:lastRenderedPageBreak/>
        <w:t xml:space="preserve">Abstract: </w:t>
      </w:r>
    </w:p>
    <w:p w:rsidR="00A00BF4" w:rsidRDefault="00A00BF4" w:rsidP="00A00BF4">
      <w:pPr>
        <w:jc w:val="both"/>
        <w:rPr>
          <w:rFonts w:asciiTheme="majorBidi" w:hAnsiTheme="majorBidi" w:cstheme="majorBidi"/>
          <w:b/>
          <w:bCs/>
          <w:lang w:bidi="fa-IR"/>
        </w:rPr>
      </w:pPr>
    </w:p>
    <w:p w:rsidR="00A00BF4" w:rsidRPr="008574F9" w:rsidRDefault="00A00BF4" w:rsidP="00E16FA7">
      <w:pPr>
        <w:jc w:val="both"/>
        <w:rPr>
          <w:rFonts w:asciiTheme="majorBidi" w:hAnsiTheme="majorBidi" w:cstheme="majorBidi"/>
          <w:lang w:bidi="fa-IR"/>
        </w:rPr>
      </w:pPr>
      <w:r w:rsidRPr="00E16FA7">
        <w:rPr>
          <w:rFonts w:asciiTheme="majorBidi" w:hAnsiTheme="majorBidi" w:cstheme="majorBidi"/>
          <w:lang w:bidi="fa-IR"/>
        </w:rPr>
        <w:t>E</w:t>
      </w:r>
      <w:r w:rsidRPr="008574F9">
        <w:rPr>
          <w:rFonts w:asciiTheme="majorBidi" w:hAnsiTheme="majorBidi" w:cstheme="majorBidi"/>
          <w:lang w:bidi="fa-IR"/>
        </w:rPr>
        <w:t>xpansion of T cells, especially CD8</w:t>
      </w:r>
      <w:r w:rsidRPr="008574F9">
        <w:rPr>
          <w:rFonts w:asciiTheme="majorBidi" w:hAnsiTheme="majorBidi" w:cstheme="majorBidi"/>
          <w:vertAlign w:val="superscript"/>
          <w:lang w:bidi="fa-IR"/>
        </w:rPr>
        <w:t xml:space="preserve"> +</w:t>
      </w:r>
      <w:r w:rsidRPr="008574F9">
        <w:rPr>
          <w:rFonts w:asciiTheme="majorBidi" w:hAnsiTheme="majorBidi" w:cstheme="majorBidi"/>
          <w:lang w:bidi="fa-IR"/>
        </w:rPr>
        <w:t xml:space="preserve"> cells, is very important for cell therapy approached in diseases related to the immune system.</w:t>
      </w:r>
      <w:r>
        <w:rPr>
          <w:rFonts w:asciiTheme="majorBidi" w:hAnsiTheme="majorBidi" w:cstheme="majorBidi"/>
          <w:lang w:bidi="fa-IR"/>
        </w:rPr>
        <w:t xml:space="preserve"> </w:t>
      </w:r>
      <w:r w:rsidRPr="008574F9">
        <w:rPr>
          <w:rFonts w:asciiTheme="majorBidi" w:hAnsiTheme="majorBidi" w:cstheme="majorBidi"/>
          <w:lang w:bidi="fa-IR"/>
        </w:rPr>
        <w:t xml:space="preserve">Finding signaling pathways and molecules involved in improving the quality and quantity of T cells can be a great help in compensating the lost lymphocytes in the body. In this study, with the </w:t>
      </w:r>
      <w:r>
        <w:rPr>
          <w:rFonts w:asciiTheme="majorBidi" w:hAnsiTheme="majorBidi" w:cstheme="majorBidi"/>
          <w:lang w:bidi="fa-IR"/>
        </w:rPr>
        <w:t>use</w:t>
      </w:r>
      <w:r w:rsidRPr="008574F9">
        <w:rPr>
          <w:rFonts w:asciiTheme="majorBidi" w:hAnsiTheme="majorBidi" w:cstheme="majorBidi"/>
          <w:lang w:bidi="fa-IR"/>
        </w:rPr>
        <w:t xml:space="preserve"> of bioinformatics analysis and the use of enrichment databases, gene expression profiles were investigated using microarray analysis.</w:t>
      </w:r>
      <w:r>
        <w:rPr>
          <w:rFonts w:asciiTheme="majorBidi" w:hAnsiTheme="majorBidi" w:cstheme="majorBidi"/>
          <w:lang w:bidi="fa-IR"/>
        </w:rPr>
        <w:t xml:space="preserve"> </w:t>
      </w:r>
      <w:r w:rsidRPr="008574F9">
        <w:rPr>
          <w:rFonts w:asciiTheme="majorBidi" w:hAnsiTheme="majorBidi" w:cstheme="majorBidi"/>
          <w:lang w:bidi="fa-IR"/>
        </w:rPr>
        <w:t>The results of this study were the joint selection of 26 upregulated genes and 59 downregulated genes that were involved in SREBP control of lipid synthesis, co-stimulatory signal during T-cell activation mitosis and chromosome dynamics, telomeres, telomerase, and cellular aging signal pathways.</w:t>
      </w:r>
      <w:r w:rsidRPr="008574F9">
        <w:t xml:space="preserve"> </w:t>
      </w:r>
      <w:r w:rsidR="00E16FA7">
        <w:rPr>
          <w:rFonts w:asciiTheme="majorBidi" w:hAnsiTheme="majorBidi" w:cstheme="majorBidi"/>
          <w:b/>
          <w:bCs/>
          <w:lang w:bidi="fa-IR"/>
        </w:rPr>
        <w:t>U</w:t>
      </w:r>
      <w:r w:rsidRPr="008574F9">
        <w:rPr>
          <w:rFonts w:asciiTheme="majorBidi" w:hAnsiTheme="majorBidi" w:cstheme="majorBidi"/>
          <w:lang w:bidi="fa-IR"/>
        </w:rPr>
        <w:t xml:space="preserve">sing bioinformatics analyzes, integrated and regular genes were selected as common genes </w:t>
      </w:r>
      <w:r w:rsidRPr="008574F9">
        <w:rPr>
          <w:rFonts w:asciiTheme="majorBidi" w:hAnsiTheme="majorBidi" w:cstheme="majorBidi"/>
          <w:i/>
          <w:iCs/>
          <w:lang w:bidi="fa-IR"/>
        </w:rPr>
        <w:t xml:space="preserve">CD80, LST1, ATM </w:t>
      </w:r>
      <w:r w:rsidRPr="008574F9">
        <w:rPr>
          <w:rFonts w:asciiTheme="majorBidi" w:hAnsiTheme="majorBidi" w:cstheme="majorBidi"/>
          <w:lang w:bidi="fa-IR"/>
        </w:rPr>
        <w:t>and</w:t>
      </w:r>
      <w:r w:rsidRPr="008574F9">
        <w:rPr>
          <w:rFonts w:asciiTheme="majorBidi" w:hAnsiTheme="majorBidi" w:cstheme="majorBidi"/>
          <w:i/>
          <w:iCs/>
          <w:lang w:bidi="fa-IR"/>
        </w:rPr>
        <w:t xml:space="preserve"> ITM2B </w:t>
      </w:r>
      <w:r w:rsidRPr="008574F9">
        <w:rPr>
          <w:rFonts w:asciiTheme="majorBidi" w:hAnsiTheme="majorBidi" w:cstheme="majorBidi"/>
          <w:lang w:bidi="fa-IR"/>
        </w:rPr>
        <w:t xml:space="preserve"> in 4-1BBL , Akt inhibitor, interleukin 7 and 15 expansion media.</w:t>
      </w:r>
    </w:p>
    <w:p w:rsidR="006604F5" w:rsidRDefault="006604F5" w:rsidP="006604F5">
      <w:pPr>
        <w:pStyle w:val="Heading3"/>
        <w:spacing w:before="74"/>
        <w:ind w:left="0"/>
        <w:rPr>
          <w:b w:val="0"/>
        </w:rPr>
      </w:pPr>
    </w:p>
    <w:p w:rsidR="005973B9" w:rsidRPr="00E16FA7" w:rsidRDefault="00777D20" w:rsidP="006604F5">
      <w:pPr>
        <w:pStyle w:val="Heading3"/>
        <w:spacing w:before="74"/>
        <w:ind w:left="0"/>
      </w:pPr>
      <w:r>
        <w:rPr>
          <w:color w:val="BF5A14"/>
        </w:rPr>
        <w:t>Recent Publications</w:t>
      </w:r>
    </w:p>
    <w:p w:rsidR="006604F5" w:rsidRPr="00777D20" w:rsidRDefault="006604F5" w:rsidP="006604F5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sz w:val="14"/>
          <w:szCs w:val="14"/>
        </w:rPr>
      </w:pPr>
      <w:r w:rsidRPr="00777D20">
        <w:rPr>
          <w:rFonts w:asciiTheme="minorHAnsi" w:hAnsiTheme="minorHAnsi" w:cstheme="minorHAnsi"/>
          <w:sz w:val="14"/>
          <w:szCs w:val="14"/>
        </w:rPr>
        <w:t xml:space="preserve">Sanaz Kavousi, Mehdi Ahmadifar, Tina Mandegar Fard, Negar Safar Lavasani, </w:t>
      </w:r>
      <w:r w:rsidRPr="00777D20">
        <w:rPr>
          <w:rFonts w:asciiTheme="minorHAnsi" w:hAnsiTheme="minorHAnsi" w:cstheme="minorHAnsi"/>
          <w:b/>
          <w:bCs/>
          <w:sz w:val="14"/>
          <w:szCs w:val="14"/>
        </w:rPr>
        <w:t>Arsalan Jalili</w:t>
      </w:r>
      <w:r w:rsidRPr="00777D20">
        <w:rPr>
          <w:rFonts w:asciiTheme="minorHAnsi" w:hAnsiTheme="minorHAnsi" w:cstheme="minorHAnsi"/>
          <w:sz w:val="14"/>
          <w:szCs w:val="14"/>
        </w:rPr>
        <w:t xml:space="preserve">, Amin Ebrahimi Sadrabadi. (2020)“Specific signaling pathways and drugs play key role in regulation of angiogenesis”. </w:t>
      </w:r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Health Biotechnology and Biopharma. </w:t>
      </w:r>
      <w:r w:rsidRPr="00777D20">
        <w:rPr>
          <w:rFonts w:asciiTheme="minorHAnsi" w:hAnsiTheme="minorHAnsi" w:cstheme="minorHAnsi"/>
          <w:sz w:val="14"/>
          <w:szCs w:val="14"/>
        </w:rPr>
        <w:t>DOI: 10.22034/HBB.2020.02</w:t>
      </w:r>
    </w:p>
    <w:p w:rsidR="006604F5" w:rsidRPr="00777D20" w:rsidRDefault="006604F5" w:rsidP="006604F5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  <w:sz w:val="14"/>
          <w:szCs w:val="14"/>
        </w:rPr>
      </w:pPr>
      <w:r w:rsidRPr="00777D20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Ehsan Seyedjafari, </w:t>
      </w:r>
      <w:r w:rsidRPr="00777D20">
        <w:rPr>
          <w:rFonts w:asciiTheme="minorHAnsi" w:hAnsiTheme="minorHAnsi" w:cstheme="minorHAnsi"/>
          <w:b/>
          <w:bCs/>
          <w:color w:val="000000" w:themeColor="text1"/>
          <w:sz w:val="14"/>
          <w:szCs w:val="14"/>
          <w:shd w:val="clear" w:color="auto" w:fill="FFFFFF"/>
        </w:rPr>
        <w:t>Arsalan Jalili</w:t>
      </w:r>
      <w:r w:rsidRPr="00777D20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, Kaykhosro Moridi, Zakieh Mokhames, (2020) </w:t>
      </w:r>
      <w:hyperlink r:id="rId9" w:history="1">
        <w:r w:rsidRPr="00777D20">
          <w:rPr>
            <w:rStyle w:val="Hyperlink"/>
            <w:rFonts w:asciiTheme="minorHAnsi" w:hAnsiTheme="minorHAnsi" w:cstheme="minorHAnsi"/>
            <w:color w:val="000000" w:themeColor="text1"/>
            <w:sz w:val="14"/>
            <w:szCs w:val="14"/>
            <w:shd w:val="clear" w:color="auto" w:fill="FFFFFF"/>
          </w:rPr>
          <w:t>Optimizing the Proliferation and Differentiation of Mesenchymal Stem Cells by Using PLLA Nanofibers for Epidermis Layer Repair</w:t>
        </w:r>
      </w:hyperlink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. Journal of Applied Tissue Engineering; </w:t>
      </w:r>
      <w:r w:rsidRPr="00777D20"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  <w:t>7 (1)</w:t>
      </w:r>
    </w:p>
    <w:p w:rsidR="006604F5" w:rsidRPr="00777D20" w:rsidRDefault="006604F5" w:rsidP="006604F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777D20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Samira Mohammadzadeh, Ahmad Gahrehbaghian, Mohsen Hamidpour, Arezoo Oodi, </w:t>
      </w:r>
      <w:r w:rsidRPr="00777D20">
        <w:rPr>
          <w:rFonts w:asciiTheme="minorHAnsi" w:hAnsiTheme="minorHAnsi" w:cstheme="minorHAnsi"/>
          <w:b/>
          <w:bCs/>
          <w:color w:val="000000" w:themeColor="text1"/>
          <w:sz w:val="14"/>
          <w:szCs w:val="14"/>
          <w:shd w:val="clear" w:color="auto" w:fill="FFFFFF"/>
        </w:rPr>
        <w:t>Arsalan Jalili</w:t>
      </w:r>
      <w:r w:rsidRPr="00777D20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, Maryam Amani, Mahshid Mohammadipour, Mona Khorshidfar, Mohammad Ghorbani, Elham Roshandel, Naser </w:t>
      </w:r>
      <w:r w:rsidRPr="00777D20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lastRenderedPageBreak/>
        <w:t xml:space="preserve">Amirizadeh. (2020) </w:t>
      </w:r>
      <w:hyperlink r:id="rId10" w:history="1">
        <w:r w:rsidRPr="00777D20">
          <w:rPr>
            <w:rStyle w:val="Hyperlink"/>
            <w:rFonts w:asciiTheme="minorHAnsi" w:hAnsiTheme="minorHAnsi" w:cstheme="minorHAnsi"/>
            <w:color w:val="000000" w:themeColor="text1"/>
            <w:sz w:val="14"/>
            <w:szCs w:val="14"/>
            <w:shd w:val="clear" w:color="auto" w:fill="FFFFFF"/>
          </w:rPr>
          <w:t>Effect of Platelet Releasate on uPA and uPAR Gene Expression in Mesenchymal Stem Cells</w:t>
        </w:r>
      </w:hyperlink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>. Journal of Applied Tissue Engineering; 7 (1)</w:t>
      </w:r>
    </w:p>
    <w:p w:rsidR="00F845B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Mohammadreza Ebadzadeh, Rayka Sharifian Amiri, </w:t>
      </w:r>
      <w:r w:rsidRPr="00777D20">
        <w:rPr>
          <w:rFonts w:asciiTheme="minorHAnsi" w:hAnsiTheme="minorHAnsi" w:cstheme="minorHAnsi"/>
          <w:b/>
          <w:bCs/>
          <w:color w:val="000000" w:themeColor="text1"/>
          <w:sz w:val="14"/>
          <w:szCs w:val="14"/>
        </w:rPr>
        <w:t>Arsalan Jalili</w:t>
      </w:r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>, Afshin Sarrafinejad, Hamed Zanganeh, Aliassghar Ketabchi. (2019) “</w:t>
      </w:r>
      <w:hyperlink r:id="rId11" w:history="1">
        <w:r w:rsidRPr="00777D20">
          <w:rPr>
            <w:rStyle w:val="Hyperlink"/>
            <w:rFonts w:asciiTheme="minorHAnsi" w:hAnsiTheme="minorHAnsi" w:cstheme="minorHAnsi"/>
            <w:color w:val="000000" w:themeColor="text1"/>
            <w:sz w:val="14"/>
            <w:szCs w:val="14"/>
          </w:rPr>
          <w:t>The Effect of Diclofenac Sodium on Nocturia Caused by Benign Prostatic Hyperplasia</w:t>
        </w:r>
      </w:hyperlink>
      <w:r w:rsidRPr="00777D20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” Journal of Kerman University of Medical Science. 26 (4): 289-296 </w:t>
      </w:r>
    </w:p>
    <w:p w:rsid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Saeid Shahrabi, Mostafa Paridar, Marzieh Zeinvand-lorestani, </w:t>
      </w:r>
      <w:r w:rsidRPr="00F845B5">
        <w:rPr>
          <w:rFonts w:asciiTheme="minorHAnsi" w:hAnsiTheme="minorHAnsi" w:cstheme="minorHAnsi"/>
          <w:b/>
          <w:bCs/>
          <w:color w:val="000000" w:themeColor="text1"/>
          <w:sz w:val="14"/>
          <w:szCs w:val="14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>, Kazem Zibara, Mohammad Abdollahi, Abbas Khosravi. (2019)  “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Autophagy regulation and its role in normal and malignant hematopoiesis” Journal of Cellular Phisiology. Doi: </w:t>
      </w:r>
      <w:r w:rsidRPr="00F845B5"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  <w:t>10.1002/jcp.28903</w:t>
      </w:r>
    </w:p>
    <w:p w:rsidR="00F845B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Foruzan Moradi , Sadegh Babashah, Majid Sadeghizadeh , </w:t>
      </w:r>
      <w:r w:rsidRPr="00F845B5">
        <w:rPr>
          <w:rFonts w:asciiTheme="minorHAnsi" w:hAnsiTheme="minorHAnsi" w:cstheme="minorHAnsi"/>
          <w:b/>
          <w:bCs/>
          <w:color w:val="000000" w:themeColor="text1"/>
          <w:sz w:val="14"/>
          <w:szCs w:val="14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>, Abbas Hajifathali, Elham Roshandel. “Signaling pathways involved in chronic myeloid leukemia pathogenesis: The importance of targeting Musashi2-Numb signaling to eradicate leukemia stem cells” Iranian Journal of Basic Medical Sciences. (2019). doi: 10.22038/ijbms.2019.31879.7666</w:t>
      </w:r>
    </w:p>
    <w:p w:rsidR="00F845B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F845B5">
        <w:rPr>
          <w:rFonts w:asciiTheme="minorHAnsi" w:hAnsiTheme="minorHAnsi" w:cstheme="minorHAnsi"/>
          <w:color w:val="000000" w:themeColor="text1"/>
          <w:spacing w:val="3"/>
          <w:sz w:val="14"/>
          <w:szCs w:val="14"/>
        </w:rPr>
        <w:t xml:space="preserve">Parinaz Abbasi Ranjbar, Azadeh Rakhshan, Farhad Mashayekhi, Nasim Hatamnejadian, Salva Sadat Mostafavi, Armita Kakavand Hamidi, Nasim Abbasi, </w:t>
      </w:r>
      <w:r w:rsidRPr="00F845B5">
        <w:rPr>
          <w:rFonts w:asciiTheme="minorHAnsi" w:hAnsiTheme="minorHAnsi" w:cstheme="minorHAnsi"/>
          <w:b/>
          <w:bCs/>
          <w:color w:val="000000" w:themeColor="text1"/>
          <w:spacing w:val="3"/>
          <w:sz w:val="14"/>
          <w:szCs w:val="14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pacing w:val="3"/>
          <w:sz w:val="14"/>
          <w:szCs w:val="14"/>
        </w:rPr>
        <w:t xml:space="preserve">, Shahin Jamshidabadi, Ahmad Ebrahimi.(2018) “Evaluation of Common Polymorphisms (GTSM1, GSTT1 and GSTP1) in S-glutathione Transferase and Susceptibility to Basal Cell Carcinoma (BCC) in Iranian Population” 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>Health Biotechnology and Biopharma. DOI: 10.22034/HBB.2019.05</w:t>
      </w:r>
    </w:p>
    <w:p w:rsidR="00F845B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F845B5">
        <w:rPr>
          <w:rFonts w:asciiTheme="minorHAnsi" w:hAnsiTheme="minorHAnsi" w:cstheme="minorHAnsi"/>
          <w:color w:val="000000" w:themeColor="text1"/>
          <w:spacing w:val="3"/>
          <w:sz w:val="14"/>
          <w:szCs w:val="14"/>
        </w:rPr>
        <w:t xml:space="preserve">Elham Roshandel, Mahshid Mehdizadeh, Sina Salari, Sayeh Parkhideh, </w:t>
      </w:r>
      <w:r w:rsidRPr="00F845B5">
        <w:rPr>
          <w:rFonts w:asciiTheme="minorHAnsi" w:hAnsiTheme="minorHAnsi" w:cstheme="minorHAnsi"/>
          <w:b/>
          <w:bCs/>
          <w:color w:val="000000" w:themeColor="text1"/>
          <w:spacing w:val="3"/>
          <w:sz w:val="14"/>
          <w:szCs w:val="14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pacing w:val="3"/>
          <w:sz w:val="14"/>
          <w:szCs w:val="14"/>
        </w:rPr>
        <w:t xml:space="preserve">, Abbas Hajifathali. (2018) “A Key Factor Affecting Mononuclear Cells Mobilizations and Myeloid Engraftment in Allogeneic Transplantation. Bone Marrow Transplantation.” </w:t>
      </w:r>
      <w:hyperlink r:id="rId12" w:history="1">
        <w:r w:rsidRPr="00F845B5">
          <w:rPr>
            <w:rStyle w:val="Hyperlink"/>
            <w:rFonts w:asciiTheme="minorHAnsi" w:hAnsiTheme="minorHAnsi" w:cstheme="minorHAnsi"/>
            <w:color w:val="000000" w:themeColor="text1"/>
            <w:sz w:val="14"/>
            <w:szCs w:val="14"/>
          </w:rPr>
          <w:t>https://doi.org/10.1038/s41409-018-0325-z</w:t>
        </w:r>
      </w:hyperlink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>.</w:t>
      </w:r>
    </w:p>
    <w:p w:rsidR="00F845B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Bent Alhoda Kuhestani Dehghi, </w:t>
      </w:r>
      <w:r w:rsidRPr="00F845B5">
        <w:rPr>
          <w:rFonts w:asciiTheme="minorHAnsi" w:hAnsiTheme="minorHAnsi" w:cstheme="minorHAnsi"/>
          <w:b/>
          <w:bCs/>
          <w:color w:val="000000" w:themeColor="text1"/>
          <w:sz w:val="14"/>
          <w:szCs w:val="14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</w:rPr>
        <w:t>, Yeganezahra Kuhestani Dehghi, Mohammad Hadi Sadeghian, Adele Soltani, Hossein Ayatollahi. (2018) “Assessing the frequency of t (12; 21) (p13; q22) in patients with acute lymphoblastic leukemia in northeastern of Iran” Health Biotechnology and Biopharma. 2(3).</w:t>
      </w:r>
    </w:p>
    <w:p w:rsidR="006604F5" w:rsidRPr="00F845B5" w:rsidRDefault="006604F5" w:rsidP="00F845B5">
      <w:pPr>
        <w:pStyle w:val="ListParagraph"/>
        <w:widowControl/>
        <w:numPr>
          <w:ilvl w:val="0"/>
          <w:numId w:val="8"/>
        </w:numPr>
        <w:shd w:val="clear" w:color="auto" w:fill="FFFFFF"/>
        <w:spacing w:before="0" w:after="200" w:line="276" w:lineRule="auto"/>
        <w:contextualSpacing/>
        <w:rPr>
          <w:rFonts w:asciiTheme="minorHAnsi" w:eastAsia="Times New Roman" w:hAnsiTheme="minorHAnsi" w:cstheme="minorHAnsi"/>
          <w:color w:val="000000" w:themeColor="text1"/>
          <w:sz w:val="14"/>
          <w:szCs w:val="14"/>
        </w:rPr>
      </w:pPr>
      <w:bookmarkStart w:id="0" w:name="_GoBack"/>
      <w:bookmarkEnd w:id="0"/>
      <w:r w:rsidRPr="00F845B5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 xml:space="preserve">Khosravi, Abbas, Shaban Alizadeh, </w:t>
      </w:r>
      <w:r w:rsidRPr="00F845B5">
        <w:rPr>
          <w:rFonts w:asciiTheme="minorHAnsi" w:hAnsiTheme="minorHAnsi" w:cstheme="minorHAnsi"/>
          <w:b/>
          <w:bCs/>
          <w:color w:val="000000" w:themeColor="text1"/>
          <w:sz w:val="14"/>
          <w:szCs w:val="14"/>
          <w:shd w:val="clear" w:color="auto" w:fill="FFFFFF"/>
        </w:rPr>
        <w:t>Arsalan Jalili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>, Reza Shirzad, and Najmaldin Saki. (2018) "The impact of Mir-9 regulation in normal and malignant hematopoiesis." </w:t>
      </w:r>
      <w:r w:rsidRPr="00F845B5">
        <w:rPr>
          <w:rFonts w:asciiTheme="minorHAnsi" w:hAnsiTheme="minorHAnsi" w:cstheme="minorHAnsi"/>
          <w:i/>
          <w:iCs/>
          <w:color w:val="000000" w:themeColor="text1"/>
          <w:sz w:val="14"/>
          <w:szCs w:val="14"/>
          <w:shd w:val="clear" w:color="auto" w:fill="FFFFFF"/>
        </w:rPr>
        <w:t>Oncology Reviews</w:t>
      </w:r>
      <w:r w:rsidRPr="00F845B5">
        <w:rPr>
          <w:rFonts w:asciiTheme="minorHAnsi" w:hAnsiTheme="minorHAnsi" w:cstheme="minorHAnsi"/>
          <w:color w:val="000000" w:themeColor="text1"/>
          <w:sz w:val="14"/>
          <w:szCs w:val="14"/>
          <w:shd w:val="clear" w:color="auto" w:fill="FFFFFF"/>
        </w:rPr>
        <w:t>12, no. 1.</w:t>
      </w:r>
    </w:p>
    <w:p w:rsidR="00AE3E37" w:rsidRPr="00777D20" w:rsidRDefault="00AE3E37">
      <w:pPr>
        <w:pStyle w:val="BodyText"/>
        <w:rPr>
          <w:rFonts w:ascii="Calibri"/>
          <w:sz w:val="16"/>
          <w:szCs w:val="14"/>
        </w:rPr>
      </w:pPr>
    </w:p>
    <w:p w:rsidR="00777D20" w:rsidRPr="00777D20" w:rsidRDefault="00777D20">
      <w:pPr>
        <w:pStyle w:val="BodyText"/>
        <w:spacing w:line="40" w:lineRule="exact"/>
        <w:ind w:left="2202"/>
        <w:rPr>
          <w:rFonts w:ascii="Calibri"/>
          <w:sz w:val="2"/>
          <w:szCs w:val="14"/>
        </w:rPr>
        <w:sectPr w:rsidR="00777D20" w:rsidRPr="00777D20" w:rsidSect="00777D20">
          <w:type w:val="continuous"/>
          <w:pgSz w:w="11910" w:h="16840"/>
          <w:pgMar w:top="1740" w:right="600" w:bottom="840" w:left="620" w:header="720" w:footer="720" w:gutter="0"/>
          <w:cols w:num="2" w:space="720"/>
        </w:sect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ED3047E" wp14:editId="70600EF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62F2E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C338E5" w:rsidRDefault="00C338E5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C338E5" w:rsidRDefault="00C338E5" w:rsidP="00C338E5">
      <w:pPr>
        <w:pStyle w:val="BodyText"/>
        <w:spacing w:line="40" w:lineRule="exact"/>
        <w:rPr>
          <w:rFonts w:ascii="Calibri"/>
          <w:sz w:val="4"/>
        </w:rPr>
      </w:pPr>
    </w:p>
    <w:p w:rsidR="00C338E5" w:rsidRDefault="00C338E5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C338E5" w:rsidRDefault="00C338E5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C338E5" w:rsidRDefault="008756E6" w:rsidP="00C338E5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6604F5" w:rsidRPr="00D9374C">
        <w:rPr>
          <w:rFonts w:ascii="Arial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61E8517B" wp14:editId="288ACFF9">
            <wp:extent cx="872490" cy="1163320"/>
            <wp:effectExtent l="0" t="0" r="3810" b="0"/>
            <wp:docPr id="1" name="Picture 1" descr="C:\Users\SONY\Desktop\کتاب از سلول تا سرطان\39804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کتاب از سلول تا سرطان\398041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326" cy="116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38E5">
        <w:rPr>
          <w:noProof/>
        </w:rPr>
        <w:t xml:space="preserve"> </w:t>
      </w:r>
    </w:p>
    <w:p w:rsidR="00C338E5" w:rsidRDefault="00C338E5" w:rsidP="009B5825">
      <w:pPr>
        <w:spacing w:before="92"/>
        <w:ind w:right="4234"/>
        <w:rPr>
          <w:rFonts w:ascii="Arial"/>
          <w:color w:val="BF5A14"/>
        </w:rPr>
      </w:pP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Arsalan Jalili is a cell therap</w:t>
      </w:r>
      <w:r w:rsidR="009B5825">
        <w:rPr>
          <w:rFonts w:ascii="Arial" w:hAnsi="Arial" w:cs="Arial"/>
          <w:color w:val="555555"/>
          <w:sz w:val="21"/>
          <w:szCs w:val="21"/>
          <w:shd w:val="clear" w:color="auto" w:fill="FFFFFF"/>
        </w:rPr>
        <w:t>y researcher</w:t>
      </w: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. During last years, he has focused on cancer biology and infection. His next generation publications will assess the best techniques for expansion, activation and finally achievement of </w:t>
      </w:r>
      <w:r w:rsidR="009B5825">
        <w:rPr>
          <w:rFonts w:ascii="Arial" w:hAnsi="Arial" w:cs="Arial"/>
          <w:color w:val="555555"/>
          <w:sz w:val="21"/>
          <w:szCs w:val="21"/>
          <w:shd w:val="clear" w:color="auto" w:fill="FFFFFF"/>
        </w:rPr>
        <w:t xml:space="preserve">a </w:t>
      </w: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proper T cell product for therapeutic approaches. His aim is to setup a cost effective techniques for immune cells expansion</w:t>
      </w:r>
    </w:p>
    <w:p w:rsidR="00AE3E37" w:rsidRPr="00C338E5" w:rsidRDefault="00A9710C" w:rsidP="00C338E5">
      <w:pPr>
        <w:spacing w:before="62"/>
        <w:ind w:left="4217" w:right="4235"/>
        <w:jc w:val="center"/>
        <w:rPr>
          <w:rFonts w:ascii="Arial"/>
          <w:sz w:val="14"/>
        </w:rPr>
        <w:sectPr w:rsidR="00AE3E37" w:rsidRPr="00C338E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C338E5">
        <w:rPr>
          <w:rFonts w:ascii="Arial"/>
          <w:sz w:val="14"/>
        </w:rPr>
        <w:t>jalili.arsalan@yahoo.co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3D0C1FA3" wp14:editId="1526721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513A5" id="Line 3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C338E5">
        <w:rPr>
          <w:rFonts w:ascii="Arial"/>
          <w:sz w:val="14"/>
        </w:rPr>
        <w:t>m</w:t>
      </w:r>
    </w:p>
    <w:p w:rsidR="00AE3E37" w:rsidRDefault="00AE3E37" w:rsidP="00C338E5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A38" w:rsidRDefault="00936A38">
      <w:r>
        <w:separator/>
      </w:r>
    </w:p>
  </w:endnote>
  <w:endnote w:type="continuationSeparator" w:id="0">
    <w:p w:rsidR="00936A38" w:rsidRDefault="0093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6A6A25B" wp14:editId="71AF6C1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6A2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1D302C6" wp14:editId="471E645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D302C6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FBFB33" wp14:editId="24E0CA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FBFB33"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A38" w:rsidRDefault="00936A38">
      <w:r>
        <w:separator/>
      </w:r>
    </w:p>
  </w:footnote>
  <w:footnote w:type="continuationSeparator" w:id="0">
    <w:p w:rsidR="00936A38" w:rsidRDefault="00936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11900AA" wp14:editId="673B722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1900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E97B190" wp14:editId="4C83C84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7B190"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438D"/>
    <w:multiLevelType w:val="hybridMultilevel"/>
    <w:tmpl w:val="9440C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F470F"/>
    <w:multiLevelType w:val="hybridMultilevel"/>
    <w:tmpl w:val="5262D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22222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1154C"/>
    <w:multiLevelType w:val="hybridMultilevel"/>
    <w:tmpl w:val="8D56C806"/>
    <w:lvl w:ilvl="0" w:tplc="3454E4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222222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A2080"/>
    <w:multiLevelType w:val="hybridMultilevel"/>
    <w:tmpl w:val="0C1C0B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>
    <w:nsid w:val="70E84702"/>
    <w:multiLevelType w:val="hybridMultilevel"/>
    <w:tmpl w:val="00FE82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343D7D"/>
    <w:rsid w:val="00404E5B"/>
    <w:rsid w:val="00414F7B"/>
    <w:rsid w:val="004355DC"/>
    <w:rsid w:val="004749B4"/>
    <w:rsid w:val="00494130"/>
    <w:rsid w:val="004F3523"/>
    <w:rsid w:val="005973B9"/>
    <w:rsid w:val="005B3A56"/>
    <w:rsid w:val="005C0D83"/>
    <w:rsid w:val="006060CE"/>
    <w:rsid w:val="0063497F"/>
    <w:rsid w:val="006604F5"/>
    <w:rsid w:val="00777D20"/>
    <w:rsid w:val="00873DF0"/>
    <w:rsid w:val="008756E6"/>
    <w:rsid w:val="008A08B6"/>
    <w:rsid w:val="00936A38"/>
    <w:rsid w:val="009B2D44"/>
    <w:rsid w:val="009B5825"/>
    <w:rsid w:val="00A00BF4"/>
    <w:rsid w:val="00A07E82"/>
    <w:rsid w:val="00A9710C"/>
    <w:rsid w:val="00AE3E37"/>
    <w:rsid w:val="00B21A57"/>
    <w:rsid w:val="00C33602"/>
    <w:rsid w:val="00C338E5"/>
    <w:rsid w:val="00CD6F55"/>
    <w:rsid w:val="00DE3104"/>
    <w:rsid w:val="00E16FA7"/>
    <w:rsid w:val="00E26B10"/>
    <w:rsid w:val="00F02ECD"/>
    <w:rsid w:val="00F72EEA"/>
    <w:rsid w:val="00F845B5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9078DB-0A9F-4C57-B164-8E7278B8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6604F5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doi.org/10.1038/s41409-018-0325-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jkmu.kmu.ac.ir/article_89522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fmsbi.com/journal/index.php/JATE/article/view/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msbi.com/journal/index.php/JATE/article/view/3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SONY</cp:lastModifiedBy>
  <cp:revision>5</cp:revision>
  <dcterms:created xsi:type="dcterms:W3CDTF">2016-12-06T11:19:00Z</dcterms:created>
  <dcterms:modified xsi:type="dcterms:W3CDTF">2020-10-19T08:41:00Z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