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386E" w:rsidRPr="00C73223" w:rsidRDefault="00FE386E" w:rsidP="00FE386E">
      <w:pPr>
        <w:spacing w:line="240" w:lineRule="auto"/>
        <w:rPr>
          <w:rFonts w:ascii="Minion Pro" w:eastAsia="Minion Pro" w:hAnsi="Minion Pro" w:cs="Minion Pro"/>
          <w:b/>
          <w:bCs/>
          <w:sz w:val="36"/>
          <w:szCs w:val="36"/>
        </w:rPr>
      </w:pPr>
      <w:r w:rsidRPr="00C73223">
        <w:rPr>
          <w:rFonts w:ascii="Minion Pro" w:eastAsia="Minion Pro" w:hAnsi="Minion Pro" w:cs="Minion Pro"/>
          <w:b/>
          <w:bCs/>
          <w:sz w:val="36"/>
          <w:szCs w:val="36"/>
        </w:rPr>
        <w:t>Overexpression of miR-183 cluster induces neuronal cell fate in Human Retinal Pigment Epithelial (</w:t>
      </w:r>
      <w:proofErr w:type="spellStart"/>
      <w:r w:rsidRPr="00C73223">
        <w:rPr>
          <w:rFonts w:ascii="Minion Pro" w:eastAsia="Minion Pro" w:hAnsi="Minion Pro" w:cs="Minion Pro"/>
          <w:b/>
          <w:bCs/>
          <w:sz w:val="36"/>
          <w:szCs w:val="36"/>
        </w:rPr>
        <w:t>hRPE</w:t>
      </w:r>
      <w:proofErr w:type="spellEnd"/>
      <w:r w:rsidRPr="00C73223">
        <w:rPr>
          <w:rFonts w:ascii="Minion Pro" w:eastAsia="Minion Pro" w:hAnsi="Minion Pro" w:cs="Minion Pro"/>
          <w:b/>
          <w:bCs/>
          <w:sz w:val="36"/>
          <w:szCs w:val="36"/>
        </w:rPr>
        <w:t>) Cells</w:t>
      </w:r>
    </w:p>
    <w:p w:rsidR="00FE386E" w:rsidRDefault="00FE386E" w:rsidP="00FE386E">
      <w:pPr>
        <w:rPr>
          <w:rFonts w:ascii="Arial" w:hAnsi="Arial" w:cs="Arial"/>
          <w:sz w:val="18"/>
          <w:szCs w:val="18"/>
          <w:vertAlign w:val="superscript"/>
        </w:rPr>
      </w:pPr>
      <w:proofErr w:type="spellStart"/>
      <w:r w:rsidRPr="00FE386E">
        <w:rPr>
          <w:rFonts w:ascii="Arial" w:hAnsi="Arial" w:cs="Arial"/>
          <w:sz w:val="18"/>
          <w:szCs w:val="18"/>
        </w:rPr>
        <w:t>Maliheh</w:t>
      </w:r>
      <w:proofErr w:type="spellEnd"/>
      <w:r w:rsidRPr="00FE386E">
        <w:rPr>
          <w:rFonts w:ascii="Arial" w:hAnsi="Arial" w:cs="Arial"/>
          <w:sz w:val="18"/>
          <w:szCs w:val="18"/>
        </w:rPr>
        <w:t xml:space="preserve"> Davari</w:t>
      </w:r>
      <w:r w:rsidRPr="00FE386E">
        <w:rPr>
          <w:rFonts w:ascii="Arial" w:hAnsi="Arial" w:cs="Arial"/>
          <w:sz w:val="18"/>
          <w:szCs w:val="18"/>
          <w:vertAlign w:val="superscript"/>
        </w:rPr>
        <w:t>1</w:t>
      </w:r>
      <w:r w:rsidRPr="00FE386E">
        <w:rPr>
          <w:rFonts w:ascii="Arial" w:hAnsi="Arial" w:cs="Arial"/>
          <w:sz w:val="18"/>
          <w:szCs w:val="18"/>
        </w:rPr>
        <w:t>, Zahra-</w:t>
      </w:r>
      <w:proofErr w:type="spellStart"/>
      <w:r w:rsidRPr="00FE386E">
        <w:rPr>
          <w:rFonts w:ascii="Arial" w:hAnsi="Arial" w:cs="Arial"/>
          <w:sz w:val="18"/>
          <w:szCs w:val="18"/>
        </w:rPr>
        <w:t>Soheila</w:t>
      </w:r>
      <w:proofErr w:type="spellEnd"/>
      <w:r w:rsidRPr="00FE386E">
        <w:rPr>
          <w:rFonts w:ascii="Arial" w:hAnsi="Arial" w:cs="Arial"/>
          <w:sz w:val="18"/>
          <w:szCs w:val="18"/>
        </w:rPr>
        <w:t xml:space="preserve"> Soheili</w:t>
      </w:r>
      <w:r w:rsidRPr="00FE386E">
        <w:rPr>
          <w:rFonts w:ascii="Arial" w:hAnsi="Arial" w:cs="Arial"/>
          <w:sz w:val="18"/>
          <w:szCs w:val="18"/>
          <w:vertAlign w:val="superscript"/>
        </w:rPr>
        <w:t>1</w:t>
      </w:r>
      <w:r w:rsidR="007714A5">
        <w:rPr>
          <w:rFonts w:ascii="Arial" w:hAnsi="Arial" w:cs="Arial" w:hint="cs"/>
          <w:sz w:val="18"/>
          <w:szCs w:val="18"/>
          <w:vertAlign w:val="superscript"/>
          <w:rtl/>
        </w:rPr>
        <w:t>*</w:t>
      </w:r>
      <w:r w:rsidRPr="00FE386E">
        <w:rPr>
          <w:rFonts w:ascii="Arial" w:hAnsi="Arial" w:cs="Arial"/>
          <w:sz w:val="18"/>
          <w:szCs w:val="18"/>
        </w:rPr>
        <w:t xml:space="preserve">, </w:t>
      </w:r>
      <w:proofErr w:type="spellStart"/>
      <w:r w:rsidRPr="00FE386E">
        <w:rPr>
          <w:rFonts w:ascii="Arial" w:hAnsi="Arial" w:cs="Arial"/>
          <w:sz w:val="18"/>
          <w:szCs w:val="18"/>
        </w:rPr>
        <w:t>Shahram</w:t>
      </w:r>
      <w:proofErr w:type="spellEnd"/>
      <w:r w:rsidRPr="00FE386E">
        <w:rPr>
          <w:rFonts w:ascii="Arial" w:hAnsi="Arial" w:cs="Arial"/>
          <w:sz w:val="18"/>
          <w:szCs w:val="18"/>
        </w:rPr>
        <w:t xml:space="preserve"> Samiei</w:t>
      </w:r>
      <w:r w:rsidRPr="00FE386E">
        <w:rPr>
          <w:rFonts w:ascii="Arial" w:hAnsi="Arial" w:cs="Arial"/>
          <w:sz w:val="18"/>
          <w:szCs w:val="18"/>
          <w:vertAlign w:val="superscript"/>
        </w:rPr>
        <w:t>2</w:t>
      </w:r>
      <w:r w:rsidRPr="00FE386E">
        <w:rPr>
          <w:rFonts w:ascii="Arial" w:hAnsi="Arial" w:cs="Arial"/>
          <w:sz w:val="18"/>
          <w:szCs w:val="18"/>
        </w:rPr>
        <w:t xml:space="preserve">, </w:t>
      </w:r>
      <w:proofErr w:type="spellStart"/>
      <w:r w:rsidRPr="00FE386E">
        <w:rPr>
          <w:rFonts w:ascii="Arial" w:hAnsi="Arial" w:cs="Arial"/>
          <w:sz w:val="18"/>
          <w:szCs w:val="18"/>
        </w:rPr>
        <w:t>Zohreh</w:t>
      </w:r>
      <w:proofErr w:type="spellEnd"/>
      <w:r w:rsidRPr="00FE386E">
        <w:rPr>
          <w:rFonts w:ascii="Arial" w:hAnsi="Arial" w:cs="Arial"/>
          <w:sz w:val="18"/>
          <w:szCs w:val="18"/>
        </w:rPr>
        <w:t xml:space="preserve"> Sharifi</w:t>
      </w:r>
      <w:r w:rsidRPr="00FE386E">
        <w:rPr>
          <w:rFonts w:ascii="Arial" w:hAnsi="Arial" w:cs="Arial"/>
          <w:sz w:val="18"/>
          <w:szCs w:val="18"/>
          <w:vertAlign w:val="superscript"/>
        </w:rPr>
        <w:t>2</w:t>
      </w:r>
      <w:r w:rsidRPr="00FE386E">
        <w:rPr>
          <w:rFonts w:ascii="Arial" w:hAnsi="Arial" w:cs="Arial"/>
          <w:sz w:val="18"/>
          <w:szCs w:val="18"/>
        </w:rPr>
        <w:t xml:space="preserve">, Ehsan </w:t>
      </w:r>
      <w:proofErr w:type="spellStart"/>
      <w:r w:rsidRPr="00FE386E">
        <w:rPr>
          <w:rFonts w:ascii="Arial" w:hAnsi="Arial" w:cs="Arial"/>
          <w:sz w:val="18"/>
          <w:szCs w:val="18"/>
        </w:rPr>
        <w:t>Ranaei</w:t>
      </w:r>
      <w:proofErr w:type="spellEnd"/>
      <w:r w:rsidRPr="00FE386E">
        <w:rPr>
          <w:rFonts w:ascii="Arial" w:hAnsi="Arial" w:cs="Arial"/>
          <w:sz w:val="18"/>
          <w:szCs w:val="18"/>
        </w:rPr>
        <w:t xml:space="preserve"> Pirmardan</w:t>
      </w:r>
      <w:r w:rsidRPr="00FE386E">
        <w:rPr>
          <w:rFonts w:ascii="Arial" w:hAnsi="Arial" w:cs="Arial"/>
          <w:sz w:val="18"/>
          <w:szCs w:val="18"/>
          <w:vertAlign w:val="superscript"/>
        </w:rPr>
        <w:t>3</w:t>
      </w:r>
    </w:p>
    <w:p w:rsidR="00FE386E" w:rsidRPr="00FE386E" w:rsidRDefault="00FE386E" w:rsidP="00FE386E">
      <w:pPr>
        <w:widowControl w:val="0"/>
        <w:autoSpaceDE w:val="0"/>
        <w:autoSpaceDN w:val="0"/>
        <w:adjustRightInd w:val="0"/>
        <w:jc w:val="both"/>
        <w:rPr>
          <w:rFonts w:ascii="Arial" w:hAnsi="Arial" w:cs="Arial"/>
          <w:sz w:val="18"/>
          <w:szCs w:val="18"/>
        </w:rPr>
      </w:pPr>
      <w:r w:rsidRPr="00FE386E">
        <w:rPr>
          <w:rFonts w:ascii="Arial" w:hAnsi="Arial" w:cs="Arial"/>
          <w:sz w:val="18"/>
          <w:szCs w:val="18"/>
          <w:vertAlign w:val="superscript"/>
        </w:rPr>
        <w:t xml:space="preserve">1 </w:t>
      </w:r>
      <w:r w:rsidRPr="00FE386E">
        <w:rPr>
          <w:rFonts w:ascii="Arial" w:hAnsi="Arial" w:cs="Arial"/>
          <w:sz w:val="18"/>
          <w:szCs w:val="18"/>
        </w:rPr>
        <w:t>National Institute of Genetic Engineering and Biotechnology, Tehran, Iran</w:t>
      </w:r>
    </w:p>
    <w:p w:rsidR="00FE386E" w:rsidRPr="00FE386E" w:rsidRDefault="00FE386E" w:rsidP="00FE386E">
      <w:pPr>
        <w:jc w:val="both"/>
        <w:rPr>
          <w:rFonts w:ascii="Arial" w:hAnsi="Arial" w:cs="Arial"/>
          <w:sz w:val="18"/>
          <w:szCs w:val="18"/>
        </w:rPr>
      </w:pPr>
      <w:r w:rsidRPr="00FE386E">
        <w:rPr>
          <w:rFonts w:ascii="Arial" w:hAnsi="Arial" w:cs="Arial"/>
          <w:sz w:val="18"/>
          <w:szCs w:val="18"/>
          <w:vertAlign w:val="superscript"/>
        </w:rPr>
        <w:t>2</w:t>
      </w:r>
      <w:r w:rsidRPr="00FE386E">
        <w:rPr>
          <w:rFonts w:ascii="Arial" w:eastAsia="Batang" w:hAnsi="Arial" w:cs="Arial"/>
          <w:sz w:val="18"/>
          <w:szCs w:val="18"/>
          <w:shd w:val="clear" w:color="auto" w:fill="FFFFFF"/>
          <w:lang w:eastAsia="ko-KR"/>
        </w:rPr>
        <w:t xml:space="preserve"> Blood Transfusion Research Center High Institute for Research and Education in Transfusion </w:t>
      </w:r>
      <w:proofErr w:type="spellStart"/>
      <w:r w:rsidRPr="00FE386E">
        <w:rPr>
          <w:rFonts w:ascii="Arial" w:eastAsia="Batang" w:hAnsi="Arial" w:cs="Arial"/>
          <w:sz w:val="18"/>
          <w:szCs w:val="18"/>
          <w:shd w:val="clear" w:color="auto" w:fill="FFFFFF"/>
          <w:lang w:eastAsia="ko-KR"/>
        </w:rPr>
        <w:t>Medicine</w:t>
      </w:r>
      <w:proofErr w:type="gramStart"/>
      <w:r w:rsidRPr="00FE386E">
        <w:rPr>
          <w:rFonts w:ascii="Arial" w:eastAsia="Batang" w:hAnsi="Arial" w:cs="Arial"/>
          <w:sz w:val="18"/>
          <w:szCs w:val="18"/>
          <w:shd w:val="clear" w:color="auto" w:fill="FFFFFF"/>
          <w:lang w:eastAsia="ko-KR"/>
        </w:rPr>
        <w:t>,</w:t>
      </w:r>
      <w:smartTag w:uri="urn:schemas-microsoft-com:office:smarttags" w:element="place">
        <w:r w:rsidRPr="00FE386E">
          <w:rPr>
            <w:rFonts w:ascii="Arial" w:eastAsia="Batang" w:hAnsi="Arial" w:cs="Arial"/>
            <w:sz w:val="18"/>
            <w:szCs w:val="18"/>
            <w:shd w:val="clear" w:color="auto" w:fill="FFFFFF"/>
            <w:lang w:eastAsia="ko-KR"/>
          </w:rPr>
          <w:t>Tehran</w:t>
        </w:r>
        <w:proofErr w:type="spellEnd"/>
        <w:proofErr w:type="gramEnd"/>
        <w:r w:rsidRPr="00FE386E">
          <w:rPr>
            <w:rFonts w:ascii="Arial" w:eastAsia="Batang" w:hAnsi="Arial" w:cs="Arial"/>
            <w:sz w:val="18"/>
            <w:szCs w:val="18"/>
            <w:shd w:val="clear" w:color="auto" w:fill="FFFFFF"/>
            <w:lang w:eastAsia="ko-KR"/>
          </w:rPr>
          <w:t xml:space="preserve">, </w:t>
        </w:r>
        <w:smartTag w:uri="urn:schemas-microsoft-com:office:smarttags" w:element="country-region">
          <w:r w:rsidRPr="00FE386E">
            <w:rPr>
              <w:rFonts w:ascii="Arial" w:eastAsia="Batang" w:hAnsi="Arial" w:cs="Arial"/>
              <w:sz w:val="18"/>
              <w:szCs w:val="18"/>
              <w:shd w:val="clear" w:color="auto" w:fill="FFFFFF"/>
              <w:lang w:eastAsia="ko-KR"/>
            </w:rPr>
            <w:t>Iran</w:t>
          </w:r>
        </w:smartTag>
      </w:smartTag>
      <w:r w:rsidRPr="00FE386E" w:rsidDel="006C281A">
        <w:rPr>
          <w:rFonts w:ascii="Arial" w:hAnsi="Arial" w:cs="Arial"/>
          <w:sz w:val="18"/>
          <w:szCs w:val="18"/>
        </w:rPr>
        <w:t xml:space="preserve"> </w:t>
      </w:r>
    </w:p>
    <w:p w:rsidR="00FE386E" w:rsidRDefault="00FE386E" w:rsidP="00FE386E">
      <w:pPr>
        <w:jc w:val="both"/>
        <w:rPr>
          <w:rFonts w:ascii="Arial" w:hAnsi="Arial" w:cs="Arial"/>
          <w:sz w:val="18"/>
          <w:szCs w:val="18"/>
        </w:rPr>
      </w:pPr>
      <w:r w:rsidRPr="00FE386E">
        <w:rPr>
          <w:rFonts w:ascii="Arial" w:hAnsi="Arial" w:cs="Arial"/>
          <w:sz w:val="18"/>
          <w:szCs w:val="18"/>
          <w:vertAlign w:val="superscript"/>
        </w:rPr>
        <w:t xml:space="preserve">3 </w:t>
      </w:r>
      <w:r w:rsidRPr="00FE386E">
        <w:rPr>
          <w:rFonts w:ascii="Arial" w:hAnsi="Arial" w:cs="Arial"/>
          <w:sz w:val="18"/>
          <w:szCs w:val="18"/>
        </w:rPr>
        <w:t>Department of Molecular</w:t>
      </w:r>
      <w:r w:rsidRPr="00FE386E">
        <w:rPr>
          <w:rFonts w:ascii="Arial" w:hAnsi="Arial" w:cs="Arial"/>
          <w:sz w:val="18"/>
          <w:szCs w:val="18"/>
          <w:vertAlign w:val="superscript"/>
        </w:rPr>
        <w:t xml:space="preserve"> </w:t>
      </w:r>
      <w:r w:rsidRPr="00FE386E">
        <w:rPr>
          <w:rFonts w:ascii="Arial" w:hAnsi="Arial" w:cs="Arial"/>
          <w:sz w:val="18"/>
          <w:szCs w:val="18"/>
        </w:rPr>
        <w:t xml:space="preserve">Genetic, Faculty of Biological Sciences, </w:t>
      </w:r>
      <w:proofErr w:type="spellStart"/>
      <w:smartTag w:uri="urn:schemas-microsoft-com:office:smarttags" w:element="PlaceName">
        <w:r w:rsidRPr="00FE386E">
          <w:rPr>
            <w:rFonts w:ascii="Arial" w:hAnsi="Arial" w:cs="Arial"/>
            <w:sz w:val="18"/>
            <w:szCs w:val="18"/>
          </w:rPr>
          <w:t>Tarbiat</w:t>
        </w:r>
      </w:smartTag>
      <w:proofErr w:type="spellEnd"/>
      <w:r w:rsidRPr="00FE386E">
        <w:rPr>
          <w:rFonts w:ascii="Arial" w:hAnsi="Arial" w:cs="Arial"/>
          <w:sz w:val="18"/>
          <w:szCs w:val="18"/>
        </w:rPr>
        <w:t xml:space="preserve"> </w:t>
      </w:r>
      <w:proofErr w:type="spellStart"/>
      <w:smartTag w:uri="urn:schemas-microsoft-com:office:smarttags" w:element="PlaceName">
        <w:r w:rsidRPr="00FE386E">
          <w:rPr>
            <w:rFonts w:ascii="Arial" w:hAnsi="Arial" w:cs="Arial"/>
            <w:sz w:val="18"/>
            <w:szCs w:val="18"/>
          </w:rPr>
          <w:t>Modares</w:t>
        </w:r>
      </w:smartTag>
      <w:proofErr w:type="spellEnd"/>
      <w:r w:rsidRPr="00FE386E">
        <w:rPr>
          <w:rFonts w:ascii="Arial" w:hAnsi="Arial" w:cs="Arial"/>
          <w:sz w:val="18"/>
          <w:szCs w:val="18"/>
        </w:rPr>
        <w:t xml:space="preserve"> </w:t>
      </w:r>
      <w:smartTag w:uri="urn:schemas-microsoft-com:office:smarttags" w:element="PlaceType">
        <w:r w:rsidRPr="00FE386E">
          <w:rPr>
            <w:rFonts w:ascii="Arial" w:hAnsi="Arial" w:cs="Arial"/>
            <w:sz w:val="18"/>
            <w:szCs w:val="18"/>
          </w:rPr>
          <w:t>University</w:t>
        </w:r>
      </w:smartTag>
      <w:r w:rsidRPr="00FE386E">
        <w:rPr>
          <w:rFonts w:ascii="Arial" w:hAnsi="Arial" w:cs="Arial"/>
          <w:sz w:val="18"/>
          <w:szCs w:val="18"/>
        </w:rPr>
        <w:t xml:space="preserve">, </w:t>
      </w:r>
      <w:smartTag w:uri="urn:schemas-microsoft-com:office:smarttags" w:element="City">
        <w:r w:rsidRPr="00FE386E">
          <w:rPr>
            <w:rFonts w:ascii="Arial" w:hAnsi="Arial" w:cs="Arial"/>
            <w:sz w:val="18"/>
            <w:szCs w:val="18"/>
          </w:rPr>
          <w:t>Tehran</w:t>
        </w:r>
      </w:smartTag>
      <w:r w:rsidRPr="00FE386E">
        <w:rPr>
          <w:rFonts w:ascii="Arial" w:hAnsi="Arial" w:cs="Arial"/>
          <w:sz w:val="18"/>
          <w:szCs w:val="18"/>
        </w:rPr>
        <w:t>, Iran</w:t>
      </w:r>
    </w:p>
    <w:p w:rsidR="00FE386E" w:rsidRPr="00FE386E" w:rsidRDefault="00FE386E" w:rsidP="00FE386E">
      <w:pPr>
        <w:jc w:val="both"/>
        <w:rPr>
          <w:rFonts w:ascii="Arial" w:hAnsi="Arial" w:cs="Arial"/>
          <w:b/>
          <w:bCs/>
          <w:sz w:val="20"/>
          <w:szCs w:val="20"/>
        </w:rPr>
        <w:sectPr w:rsidR="00FE386E" w:rsidRPr="00FE386E" w:rsidSect="00FE386E">
          <w:pgSz w:w="12240" w:h="15840"/>
          <w:pgMar w:top="1440" w:right="567" w:bottom="1440" w:left="567" w:header="720" w:footer="720" w:gutter="0"/>
          <w:cols w:space="720"/>
          <w:docGrid w:linePitch="360"/>
        </w:sectPr>
      </w:pPr>
      <w:r w:rsidRPr="00FE386E">
        <w:rPr>
          <w:rFonts w:ascii="Arial" w:hAnsi="Arial" w:cs="Arial"/>
          <w:b/>
          <w:bCs/>
          <w:color w:val="ED7D31" w:themeColor="accent2"/>
          <w:sz w:val="20"/>
          <w:szCs w:val="20"/>
        </w:rPr>
        <w:t xml:space="preserve">Abstract </w:t>
      </w:r>
    </w:p>
    <w:p w:rsidR="00FE386E" w:rsidRDefault="00FE386E" w:rsidP="00F758CB">
      <w:pPr>
        <w:jc w:val="lowKashida"/>
      </w:pPr>
      <w:r w:rsidRPr="00FE386E">
        <w:rPr>
          <w:b/>
          <w:bCs/>
        </w:rPr>
        <w:t>Statement of the Problem:</w:t>
      </w:r>
      <w:r>
        <w:t xml:space="preserve"> </w:t>
      </w:r>
      <w:r w:rsidRPr="00FE386E">
        <w:t xml:space="preserve">miR-183 cluster, composed of miR-183, miR-96 and miR-182, is highly expressed in the adult retina particularly photoreceptors. As a key miRNA cluster in differentiation of photoreceptors, miR-183 cluster was overexpressed in multipotent </w:t>
      </w:r>
      <w:proofErr w:type="spellStart"/>
      <w:r w:rsidRPr="00FE386E">
        <w:t>hRPE</w:t>
      </w:r>
      <w:proofErr w:type="spellEnd"/>
      <w:r w:rsidRPr="00FE386E">
        <w:t xml:space="preserve"> cells to evaluate its potential to induce </w:t>
      </w:r>
      <w:proofErr w:type="spellStart"/>
      <w:r w:rsidRPr="00FE386E">
        <w:t>hRPE</w:t>
      </w:r>
      <w:proofErr w:type="spellEnd"/>
      <w:r w:rsidRPr="00FE386E">
        <w:t xml:space="preserve"> reprogramming toward neuron fate in vitro.  </w:t>
      </w:r>
      <w:r w:rsidRPr="00FE386E">
        <w:rPr>
          <w:b/>
          <w:bCs/>
        </w:rPr>
        <w:t>Methodology &amp; Theoretical Orientation:</w:t>
      </w:r>
      <w:r>
        <w:t xml:space="preserve"> </w:t>
      </w:r>
      <w:proofErr w:type="spellStart"/>
      <w:r w:rsidRPr="00FE386E">
        <w:t>hRPE</w:t>
      </w:r>
      <w:proofErr w:type="spellEnd"/>
      <w:r w:rsidRPr="00FE386E">
        <w:t xml:space="preserve"> cells were transfected with the construct carrying miR-18/-96/-182 genes and subjected to measure the expression levels of miR-183 cluster members and that of retina-specific neuronal genes such as OTX2, NRL, PDC, DCT, POU4F2, RCV, CRX, NR2E3 and NGN1. The </w:t>
      </w:r>
      <w:proofErr w:type="spellStart"/>
      <w:r w:rsidRPr="00FE386E">
        <w:t>hRPE</w:t>
      </w:r>
      <w:proofErr w:type="spellEnd"/>
      <w:r w:rsidRPr="00FE386E">
        <w:t xml:space="preserve"> cells expressing miR-183 cluster were also </w:t>
      </w:r>
      <w:proofErr w:type="spellStart"/>
      <w:r w:rsidRPr="00FE386E">
        <w:t>immunocytochemically</w:t>
      </w:r>
      <w:proofErr w:type="spellEnd"/>
      <w:r w:rsidRPr="00FE386E">
        <w:t xml:space="preserve"> examined for retina-specific neuronal markers including Rhodopsin, red opsin, CRX, Thy1, CD73, </w:t>
      </w:r>
      <w:proofErr w:type="spellStart"/>
      <w:r w:rsidRPr="00FE386E">
        <w:t>recoverin</w:t>
      </w:r>
      <w:proofErr w:type="spellEnd"/>
      <w:r w:rsidRPr="00FE386E">
        <w:t xml:space="preserve"> and PKC to identify the developing neuron-like cells. </w:t>
      </w:r>
      <w:r w:rsidRPr="00FE386E">
        <w:rPr>
          <w:b/>
          <w:bCs/>
        </w:rPr>
        <w:t>Findings:</w:t>
      </w:r>
      <w:r>
        <w:rPr>
          <w:rFonts w:ascii="Times New Roman" w:hAnsi="Times New Roman" w:cs="Times New Roman"/>
          <w:b/>
          <w:bCs/>
          <w:sz w:val="28"/>
          <w:szCs w:val="28"/>
        </w:rPr>
        <w:t xml:space="preserve"> </w:t>
      </w:r>
      <w:r w:rsidRPr="00FE386E">
        <w:t xml:space="preserve">Data showed that </w:t>
      </w:r>
      <w:proofErr w:type="spellStart"/>
      <w:r w:rsidRPr="00FE386E">
        <w:t>hRPE</w:t>
      </w:r>
      <w:proofErr w:type="spellEnd"/>
      <w:r w:rsidRPr="00FE386E">
        <w:t xml:space="preserve"> cells overexpressing miR-183, miR-96 and miR-182 (78-, 158- and 64-fold, respectively) also demonstrated the upregulation of neuronal genes such as OTX2, NRL, PDC and DCT (2-, 2-, 7-, 2-fold, respectively) (Figure 1). Furthermore, some cells </w:t>
      </w:r>
      <w:proofErr w:type="spellStart"/>
      <w:r w:rsidRPr="00FE386E">
        <w:t>immunoreactive</w:t>
      </w:r>
      <w:proofErr w:type="spellEnd"/>
      <w:r w:rsidRPr="00FE386E">
        <w:t xml:space="preserve"> for neuronal markers including Rhodopsin, red opsin, CRX and Thy1 were found in miR-183 cluster-treated </w:t>
      </w:r>
      <w:proofErr w:type="spellStart"/>
      <w:r w:rsidRPr="00FE386E">
        <w:t>hRPE</w:t>
      </w:r>
      <w:proofErr w:type="spellEnd"/>
      <w:r w:rsidRPr="00FE386E">
        <w:t xml:space="preserve"> </w:t>
      </w:r>
      <w:r w:rsidR="00F758CB">
        <w:t>cultures</w:t>
      </w:r>
      <w:r w:rsidRPr="00FE386E">
        <w:t xml:space="preserve">. </w:t>
      </w:r>
      <w:r w:rsidRPr="00FE386E">
        <w:rPr>
          <w:b/>
          <w:bCs/>
        </w:rPr>
        <w:t>Conclusion &amp; Significance:</w:t>
      </w:r>
      <w:r w:rsidRPr="00FE386E">
        <w:t xml:space="preserve"> Both transcriptional and translational upregulation of neuronal genes in miR-183 cluster-treated </w:t>
      </w:r>
      <w:proofErr w:type="spellStart"/>
      <w:r w:rsidRPr="00FE386E">
        <w:t>hRPE</w:t>
      </w:r>
      <w:proofErr w:type="spellEnd"/>
      <w:r w:rsidRPr="00FE386E">
        <w:t xml:space="preserve"> cells suggests that in vitro overexpression of miR-183 cluster members could pave the reprogramming way of cultured </w:t>
      </w:r>
      <w:proofErr w:type="spellStart"/>
      <w:r w:rsidRPr="00FE386E">
        <w:t>hRPE</w:t>
      </w:r>
      <w:proofErr w:type="spellEnd"/>
      <w:r w:rsidRPr="00FE386E">
        <w:t xml:space="preserve"> cells to retinal neuron-like fate.</w:t>
      </w:r>
    </w:p>
    <w:p w:rsidR="00FE386E" w:rsidRPr="00C73223" w:rsidRDefault="00F758CB" w:rsidP="00FE386E">
      <w:pPr>
        <w:jc w:val="both"/>
        <w:rPr>
          <w:rFonts w:ascii="Arial" w:hAnsi="Arial" w:cs="Arial"/>
          <w:b/>
          <w:bCs/>
          <w:color w:val="ED7D31" w:themeColor="accent2"/>
          <w:sz w:val="20"/>
          <w:szCs w:val="20"/>
        </w:rPr>
      </w:pPr>
      <w:r>
        <w:rPr>
          <w:noProof/>
        </w:rPr>
        <mc:AlternateContent>
          <mc:Choice Requires="wps">
            <w:drawing>
              <wp:anchor distT="0" distB="0" distL="114300" distR="114300" simplePos="0" relativeHeight="251660288" behindDoc="0" locked="0" layoutInCell="1" allowOverlap="1" wp14:anchorId="0A93DF55" wp14:editId="65EB6BEF">
                <wp:simplePos x="0" y="0"/>
                <wp:positionH relativeFrom="column">
                  <wp:posOffset>-123825</wp:posOffset>
                </wp:positionH>
                <wp:positionV relativeFrom="paragraph">
                  <wp:posOffset>1854835</wp:posOffset>
                </wp:positionV>
                <wp:extent cx="3752850" cy="101917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1019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3223" w:rsidRPr="00C73223" w:rsidRDefault="00C73223" w:rsidP="00C73223">
                            <w:pPr>
                              <w:rPr>
                                <w:rFonts w:cstheme="minorHAnsi"/>
                                <w:sz w:val="18"/>
                                <w:szCs w:val="18"/>
                              </w:rPr>
                            </w:pPr>
                            <w:r w:rsidRPr="00C73223">
                              <w:rPr>
                                <w:rFonts w:cstheme="minorHAnsi"/>
                                <w:b/>
                                <w:bCs/>
                                <w:sz w:val="18"/>
                                <w:szCs w:val="18"/>
                              </w:rPr>
                              <w:t xml:space="preserve">Figure 1. Relative expression of miR-183 cluster and retina-specific neuronal genes in transfected </w:t>
                            </w:r>
                            <w:proofErr w:type="spellStart"/>
                            <w:r w:rsidRPr="00C73223">
                              <w:rPr>
                                <w:rFonts w:cstheme="minorHAnsi"/>
                                <w:b/>
                                <w:bCs/>
                                <w:sz w:val="18"/>
                                <w:szCs w:val="18"/>
                              </w:rPr>
                              <w:t>hRPE</w:t>
                            </w:r>
                            <w:proofErr w:type="spellEnd"/>
                            <w:r w:rsidRPr="00C73223">
                              <w:rPr>
                                <w:rFonts w:cstheme="minorHAnsi"/>
                                <w:b/>
                                <w:bCs/>
                                <w:sz w:val="18"/>
                                <w:szCs w:val="18"/>
                              </w:rPr>
                              <w:t xml:space="preserve"> cells</w:t>
                            </w:r>
                            <w:r w:rsidRPr="00C73223">
                              <w:rPr>
                                <w:rFonts w:cstheme="minorHAnsi"/>
                                <w:sz w:val="18"/>
                                <w:szCs w:val="18"/>
                              </w:rPr>
                              <w:t xml:space="preserve">. </w:t>
                            </w:r>
                            <w:r w:rsidRPr="00C73223">
                              <w:rPr>
                                <w:rFonts w:cstheme="minorHAnsi"/>
                                <w:b/>
                                <w:bCs/>
                                <w:sz w:val="18"/>
                                <w:szCs w:val="18"/>
                              </w:rPr>
                              <w:t>(A)</w:t>
                            </w:r>
                            <w:r w:rsidRPr="00C73223">
                              <w:rPr>
                                <w:rFonts w:cstheme="minorHAnsi"/>
                                <w:sz w:val="18"/>
                                <w:szCs w:val="18"/>
                              </w:rPr>
                              <w:t xml:space="preserve"> miR-96/-183/-182 genes were overexpressed 158-, 78- and 64-fold, respectively, in </w:t>
                            </w:r>
                            <w:proofErr w:type="spellStart"/>
                            <w:r w:rsidRPr="00C73223">
                              <w:rPr>
                                <w:rFonts w:cstheme="minorHAnsi"/>
                                <w:sz w:val="18"/>
                                <w:szCs w:val="18"/>
                              </w:rPr>
                              <w:t>hRPE</w:t>
                            </w:r>
                            <w:proofErr w:type="spellEnd"/>
                            <w:r w:rsidRPr="00C73223">
                              <w:rPr>
                                <w:rFonts w:cstheme="minorHAnsi"/>
                                <w:sz w:val="18"/>
                                <w:szCs w:val="18"/>
                              </w:rPr>
                              <w:t xml:space="preserve"> cells transfected with miR-183 cluster </w:t>
                            </w:r>
                            <w:r w:rsidRPr="00C73223">
                              <w:rPr>
                                <w:rFonts w:cstheme="minorHAnsi"/>
                                <w:b/>
                                <w:bCs/>
                                <w:sz w:val="18"/>
                                <w:szCs w:val="18"/>
                              </w:rPr>
                              <w:t>(B)</w:t>
                            </w:r>
                            <w:r w:rsidRPr="00C73223">
                              <w:rPr>
                                <w:rFonts w:cstheme="minorHAnsi"/>
                                <w:sz w:val="18"/>
                                <w:szCs w:val="18"/>
                              </w:rPr>
                              <w:t xml:space="preserve"> </w:t>
                            </w:r>
                            <w:proofErr w:type="spellStart"/>
                            <w:r w:rsidRPr="00C73223">
                              <w:rPr>
                                <w:rFonts w:cstheme="minorHAnsi"/>
                                <w:sz w:val="18"/>
                                <w:szCs w:val="18"/>
                              </w:rPr>
                              <w:t>hRPE</w:t>
                            </w:r>
                            <w:proofErr w:type="spellEnd"/>
                            <w:r w:rsidRPr="00C73223">
                              <w:rPr>
                                <w:rFonts w:cstheme="minorHAnsi"/>
                                <w:sz w:val="18"/>
                                <w:szCs w:val="18"/>
                              </w:rPr>
                              <w:t xml:space="preserve"> cells overexpressing miR-183 cluster showed upregulation of several retina-specific neuronal genes including </w:t>
                            </w:r>
                            <w:r w:rsidRPr="00C73223">
                              <w:rPr>
                                <w:rFonts w:cstheme="minorHAnsi"/>
                                <w:i/>
                                <w:iCs/>
                                <w:sz w:val="18"/>
                                <w:szCs w:val="18"/>
                              </w:rPr>
                              <w:t>OTX2,</w:t>
                            </w:r>
                            <w:r w:rsidRPr="00C73223">
                              <w:rPr>
                                <w:rFonts w:cstheme="minorHAnsi"/>
                                <w:sz w:val="18"/>
                                <w:szCs w:val="18"/>
                              </w:rPr>
                              <w:t xml:space="preserve"> </w:t>
                            </w:r>
                            <w:r w:rsidRPr="00C73223">
                              <w:rPr>
                                <w:rFonts w:cstheme="minorHAnsi"/>
                                <w:i/>
                                <w:iCs/>
                                <w:sz w:val="18"/>
                                <w:szCs w:val="18"/>
                              </w:rPr>
                              <w:t>NRL</w:t>
                            </w:r>
                            <w:r w:rsidRPr="00C73223">
                              <w:rPr>
                                <w:rFonts w:cstheme="minorHAnsi"/>
                                <w:sz w:val="18"/>
                                <w:szCs w:val="18"/>
                              </w:rPr>
                              <w:t xml:space="preserve">, </w:t>
                            </w:r>
                            <w:r w:rsidRPr="00C73223">
                              <w:rPr>
                                <w:rFonts w:cstheme="minorHAnsi"/>
                                <w:i/>
                                <w:iCs/>
                                <w:sz w:val="18"/>
                                <w:szCs w:val="18"/>
                              </w:rPr>
                              <w:t>PDC</w:t>
                            </w:r>
                            <w:r w:rsidRPr="00C73223">
                              <w:rPr>
                                <w:rFonts w:cstheme="minorHAnsi"/>
                                <w:sz w:val="18"/>
                                <w:szCs w:val="18"/>
                              </w:rPr>
                              <w:t xml:space="preserve"> and </w:t>
                            </w:r>
                            <w:r w:rsidRPr="00C73223">
                              <w:rPr>
                                <w:rFonts w:cstheme="minorHAnsi"/>
                                <w:i/>
                                <w:iCs/>
                                <w:sz w:val="18"/>
                                <w:szCs w:val="18"/>
                              </w:rPr>
                              <w:t>DCT</w:t>
                            </w:r>
                            <w:r w:rsidRPr="00C73223">
                              <w:rPr>
                                <w:rFonts w:cstheme="minorHAnsi"/>
                                <w:sz w:val="18"/>
                                <w:szCs w:val="18"/>
                              </w:rPr>
                              <w:t xml:space="preserve">. </w:t>
                            </w:r>
                          </w:p>
                          <w:p w:rsidR="00C73223" w:rsidRPr="00C73223" w:rsidRDefault="00C73223" w:rsidP="00C73223">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3DF55" id="_x0000_t202" coordsize="21600,21600" o:spt="202" path="m,l,21600r21600,l21600,xe">
                <v:stroke joinstyle="miter"/>
                <v:path gradientshapeok="t" o:connecttype="rect"/>
              </v:shapetype>
              <v:shape id="Text Box 1" o:spid="_x0000_s1026" type="#_x0000_t202" style="position:absolute;left:0;text-align:left;margin-left:-9.75pt;margin-top:146.05pt;width:295.5pt;height:8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" stroked="f">
                <v:textbox>
                  <w:txbxContent>
                    <w:p w:rsidR="00C73223" w:rsidRPr="00C73223" w:rsidRDefault="00C73223" w:rsidP="00C73223">
                      <w:pPr>
                        <w:rPr>
                          <w:rFonts w:cstheme="minorHAnsi"/>
                          <w:sz w:val="18"/>
                          <w:szCs w:val="18"/>
                        </w:rPr>
                      </w:pPr>
                      <w:r w:rsidRPr="00C73223">
                        <w:rPr>
                          <w:rFonts w:cstheme="minorHAnsi"/>
                          <w:b/>
                          <w:bCs/>
                          <w:sz w:val="18"/>
                          <w:szCs w:val="18"/>
                        </w:rPr>
                        <w:t xml:space="preserve">Figure 1. Relative expression of miR-183 cluster and retina-specific neuronal genes in transfected </w:t>
                      </w:r>
                      <w:proofErr w:type="spellStart"/>
                      <w:r w:rsidRPr="00C73223">
                        <w:rPr>
                          <w:rFonts w:cstheme="minorHAnsi"/>
                          <w:b/>
                          <w:bCs/>
                          <w:sz w:val="18"/>
                          <w:szCs w:val="18"/>
                        </w:rPr>
                        <w:t>hRPE</w:t>
                      </w:r>
                      <w:proofErr w:type="spellEnd"/>
                      <w:r w:rsidRPr="00C73223">
                        <w:rPr>
                          <w:rFonts w:cstheme="minorHAnsi"/>
                          <w:b/>
                          <w:bCs/>
                          <w:sz w:val="18"/>
                          <w:szCs w:val="18"/>
                        </w:rPr>
                        <w:t xml:space="preserve"> cells</w:t>
                      </w:r>
                      <w:r w:rsidRPr="00C73223">
                        <w:rPr>
                          <w:rFonts w:cstheme="minorHAnsi"/>
                          <w:sz w:val="18"/>
                          <w:szCs w:val="18"/>
                        </w:rPr>
                        <w:t xml:space="preserve">. </w:t>
                      </w:r>
                      <w:r w:rsidRPr="00C73223">
                        <w:rPr>
                          <w:rFonts w:cstheme="minorHAnsi"/>
                          <w:b/>
                          <w:bCs/>
                          <w:sz w:val="18"/>
                          <w:szCs w:val="18"/>
                        </w:rPr>
                        <w:t>(A)</w:t>
                      </w:r>
                      <w:r w:rsidRPr="00C73223">
                        <w:rPr>
                          <w:rFonts w:cstheme="minorHAnsi"/>
                          <w:sz w:val="18"/>
                          <w:szCs w:val="18"/>
                        </w:rPr>
                        <w:t xml:space="preserve"> miR-96/-183/-182 genes were overexpressed 158-, 78- and 64-fold, respectively, in </w:t>
                      </w:r>
                      <w:proofErr w:type="spellStart"/>
                      <w:r w:rsidRPr="00C73223">
                        <w:rPr>
                          <w:rFonts w:cstheme="minorHAnsi"/>
                          <w:sz w:val="18"/>
                          <w:szCs w:val="18"/>
                        </w:rPr>
                        <w:t>hRPE</w:t>
                      </w:r>
                      <w:proofErr w:type="spellEnd"/>
                      <w:r w:rsidRPr="00C73223">
                        <w:rPr>
                          <w:rFonts w:cstheme="minorHAnsi"/>
                          <w:sz w:val="18"/>
                          <w:szCs w:val="18"/>
                        </w:rPr>
                        <w:t xml:space="preserve"> cells transfected with miR-183 cluster </w:t>
                      </w:r>
                      <w:r w:rsidRPr="00C73223">
                        <w:rPr>
                          <w:rFonts w:cstheme="minorHAnsi"/>
                          <w:b/>
                          <w:bCs/>
                          <w:sz w:val="18"/>
                          <w:szCs w:val="18"/>
                        </w:rPr>
                        <w:t>(B)</w:t>
                      </w:r>
                      <w:r w:rsidRPr="00C73223">
                        <w:rPr>
                          <w:rFonts w:cstheme="minorHAnsi"/>
                          <w:sz w:val="18"/>
                          <w:szCs w:val="18"/>
                        </w:rPr>
                        <w:t xml:space="preserve"> </w:t>
                      </w:r>
                      <w:proofErr w:type="spellStart"/>
                      <w:r w:rsidRPr="00C73223">
                        <w:rPr>
                          <w:rFonts w:cstheme="minorHAnsi"/>
                          <w:sz w:val="18"/>
                          <w:szCs w:val="18"/>
                        </w:rPr>
                        <w:t>hRPE</w:t>
                      </w:r>
                      <w:proofErr w:type="spellEnd"/>
                      <w:r w:rsidRPr="00C73223">
                        <w:rPr>
                          <w:rFonts w:cstheme="minorHAnsi"/>
                          <w:sz w:val="18"/>
                          <w:szCs w:val="18"/>
                        </w:rPr>
                        <w:t xml:space="preserve"> cells overexpressing miR-183 cluster showed upregulation of several retina-specific neuronal genes including </w:t>
                      </w:r>
                      <w:r w:rsidRPr="00C73223">
                        <w:rPr>
                          <w:rFonts w:cstheme="minorHAnsi"/>
                          <w:i/>
                          <w:iCs/>
                          <w:sz w:val="18"/>
                          <w:szCs w:val="18"/>
                        </w:rPr>
                        <w:t>OTX2,</w:t>
                      </w:r>
                      <w:r w:rsidRPr="00C73223">
                        <w:rPr>
                          <w:rFonts w:cstheme="minorHAnsi"/>
                          <w:sz w:val="18"/>
                          <w:szCs w:val="18"/>
                        </w:rPr>
                        <w:t xml:space="preserve"> </w:t>
                      </w:r>
                      <w:r w:rsidRPr="00C73223">
                        <w:rPr>
                          <w:rFonts w:cstheme="minorHAnsi"/>
                          <w:i/>
                          <w:iCs/>
                          <w:sz w:val="18"/>
                          <w:szCs w:val="18"/>
                        </w:rPr>
                        <w:t>NRL</w:t>
                      </w:r>
                      <w:r w:rsidRPr="00C73223">
                        <w:rPr>
                          <w:rFonts w:cstheme="minorHAnsi"/>
                          <w:sz w:val="18"/>
                          <w:szCs w:val="18"/>
                        </w:rPr>
                        <w:t xml:space="preserve">, </w:t>
                      </w:r>
                      <w:r w:rsidRPr="00C73223">
                        <w:rPr>
                          <w:rFonts w:cstheme="minorHAnsi"/>
                          <w:i/>
                          <w:iCs/>
                          <w:sz w:val="18"/>
                          <w:szCs w:val="18"/>
                        </w:rPr>
                        <w:t>PDC</w:t>
                      </w:r>
                      <w:r w:rsidRPr="00C73223">
                        <w:rPr>
                          <w:rFonts w:cstheme="minorHAnsi"/>
                          <w:sz w:val="18"/>
                          <w:szCs w:val="18"/>
                        </w:rPr>
                        <w:t xml:space="preserve"> and </w:t>
                      </w:r>
                      <w:r w:rsidRPr="00C73223">
                        <w:rPr>
                          <w:rFonts w:cstheme="minorHAnsi"/>
                          <w:i/>
                          <w:iCs/>
                          <w:sz w:val="18"/>
                          <w:szCs w:val="18"/>
                        </w:rPr>
                        <w:t>DCT</w:t>
                      </w:r>
                      <w:r w:rsidRPr="00C73223">
                        <w:rPr>
                          <w:rFonts w:cstheme="minorHAnsi"/>
                          <w:sz w:val="18"/>
                          <w:szCs w:val="18"/>
                        </w:rPr>
                        <w:t xml:space="preserve">. </w:t>
                      </w:r>
                    </w:p>
                    <w:p w:rsidR="00C73223" w:rsidRPr="00C73223" w:rsidRDefault="00C73223" w:rsidP="00C73223">
                      <w:pPr>
                        <w:rPr>
                          <w:sz w:val="20"/>
                          <w:szCs w:val="20"/>
                        </w:rPr>
                      </w:pPr>
                    </w:p>
                  </w:txbxContent>
                </v:textbox>
              </v:shape>
            </w:pict>
          </mc:Fallback>
        </mc:AlternateContent>
      </w:r>
      <w:r w:rsidR="00C73223" w:rsidRPr="00FA5B2F">
        <w:rPr>
          <w:noProof/>
        </w:rPr>
        <w:drawing>
          <wp:anchor distT="0" distB="0" distL="114300" distR="114300" simplePos="0" relativeHeight="251659264" behindDoc="0" locked="0" layoutInCell="1" allowOverlap="1" wp14:anchorId="3BC2E2AD" wp14:editId="3E7ED1B4">
            <wp:simplePos x="0" y="0"/>
            <wp:positionH relativeFrom="column">
              <wp:posOffset>-142875</wp:posOffset>
            </wp:positionH>
            <wp:positionV relativeFrom="paragraph">
              <wp:posOffset>254635</wp:posOffset>
            </wp:positionV>
            <wp:extent cx="3705225" cy="1623695"/>
            <wp:effectExtent l="0" t="0" r="9525" b="0"/>
            <wp:wrapSquare wrapText="bothSides"/>
            <wp:docPr id="2" name="Picture 1" descr="C:\Users\ESUS\Desktop\Figu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SUS\Desktop\Figure 1.jpg"/>
                    <pic:cNvPicPr>
                      <a:picLocks noChangeAspect="1" noChangeArrowheads="1"/>
                    </pic:cNvPicPr>
                  </pic:nvPicPr>
                  <pic:blipFill>
                    <a:blip r:embed="rId5" cstate="print"/>
                    <a:srcRect t="7054" r="5414"/>
                    <a:stretch>
                      <a:fillRect/>
                    </a:stretch>
                  </pic:blipFill>
                  <pic:spPr bwMode="auto">
                    <a:xfrm>
                      <a:off x="0" y="0"/>
                      <a:ext cx="3705225" cy="16236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73223" w:rsidRPr="00C73223">
        <w:rPr>
          <w:rFonts w:ascii="Arial" w:hAnsi="Arial" w:cs="Arial"/>
          <w:b/>
          <w:bCs/>
          <w:color w:val="ED7D31" w:themeColor="accent2"/>
          <w:sz w:val="20"/>
          <w:szCs w:val="20"/>
        </w:rPr>
        <w:t>Images</w:t>
      </w:r>
    </w:p>
    <w:p w:rsidR="00FE386E" w:rsidRPr="00FE386E" w:rsidRDefault="00FE386E" w:rsidP="00FE386E">
      <w:pPr>
        <w:spacing w:line="240" w:lineRule="auto"/>
        <w:rPr>
          <w:rFonts w:ascii="Minion Pro" w:eastAsia="Minion Pro" w:hAnsi="Minion Pro" w:cs="Minion Pro"/>
          <w:b/>
          <w:bCs/>
          <w:color w:val="337AB7"/>
          <w:sz w:val="36"/>
          <w:szCs w:val="36"/>
        </w:rPr>
      </w:pPr>
    </w:p>
    <w:p w:rsidR="007E3334" w:rsidRDefault="007E3334"/>
    <w:p w:rsidR="00F758CB" w:rsidRDefault="00F758CB"/>
    <w:p w:rsidR="00F758CB" w:rsidRDefault="00F758CB" w:rsidP="00F758CB">
      <w:pPr>
        <w:rPr>
          <w:rFonts w:ascii="Arial"/>
          <w:b/>
          <w:color w:val="BF5A14"/>
          <w:sz w:val="20"/>
        </w:rPr>
      </w:pPr>
      <w:r>
        <w:rPr>
          <w:rFonts w:ascii="Arial"/>
          <w:b/>
          <w:color w:val="BF5A14"/>
          <w:sz w:val="20"/>
        </w:rPr>
        <w:t>Recent Publications</w:t>
      </w:r>
    </w:p>
    <w:p w:rsidR="00F758CB" w:rsidRDefault="00F758CB" w:rsidP="00F758CB">
      <w:pPr>
        <w:pStyle w:val="ListParagraph"/>
        <w:numPr>
          <w:ilvl w:val="0"/>
          <w:numId w:val="1"/>
        </w:numPr>
        <w:ind w:left="426"/>
        <w:rPr>
          <w:sz w:val="18"/>
          <w:szCs w:val="18"/>
        </w:rPr>
      </w:pPr>
      <w:r w:rsidRPr="00F758CB">
        <w:rPr>
          <w:sz w:val="18"/>
          <w:szCs w:val="18"/>
        </w:rPr>
        <w:t>Xu, S. (2009) microRNA expression in the eyes and their significance in relation to functions. Progress in Retinal and Eye Research, 28(2): p. 87-116.</w:t>
      </w:r>
    </w:p>
    <w:p w:rsidR="00BC39EA" w:rsidRDefault="00BC39EA" w:rsidP="00BC39EA">
      <w:pPr>
        <w:pStyle w:val="ListParagraph"/>
        <w:numPr>
          <w:ilvl w:val="0"/>
          <w:numId w:val="1"/>
        </w:numPr>
        <w:ind w:left="426"/>
        <w:rPr>
          <w:sz w:val="18"/>
          <w:szCs w:val="18"/>
        </w:rPr>
      </w:pPr>
      <w:proofErr w:type="spellStart"/>
      <w:r>
        <w:rPr>
          <w:sz w:val="18"/>
          <w:szCs w:val="18"/>
        </w:rPr>
        <w:t>Andreeva</w:t>
      </w:r>
      <w:proofErr w:type="spellEnd"/>
      <w:r>
        <w:rPr>
          <w:sz w:val="18"/>
          <w:szCs w:val="18"/>
        </w:rPr>
        <w:t xml:space="preserve">, K. and N.G.F. Cooper (2014) </w:t>
      </w:r>
      <w:r w:rsidRPr="00BC39EA">
        <w:rPr>
          <w:sz w:val="18"/>
          <w:szCs w:val="18"/>
        </w:rPr>
        <w:t>MicroRNAs in the Neural Retina. Internationa</w:t>
      </w:r>
      <w:r>
        <w:rPr>
          <w:sz w:val="18"/>
          <w:szCs w:val="18"/>
        </w:rPr>
        <w:t>l Journal of Genomics,</w:t>
      </w:r>
      <w:r w:rsidRPr="00BC39EA">
        <w:rPr>
          <w:sz w:val="18"/>
          <w:szCs w:val="18"/>
        </w:rPr>
        <w:t xml:space="preserve"> p. 14.</w:t>
      </w:r>
    </w:p>
    <w:p w:rsidR="00F758CB" w:rsidRDefault="00F758CB" w:rsidP="00F758CB">
      <w:pPr>
        <w:pStyle w:val="ListParagraph"/>
        <w:numPr>
          <w:ilvl w:val="0"/>
          <w:numId w:val="1"/>
        </w:numPr>
        <w:ind w:left="426"/>
        <w:rPr>
          <w:sz w:val="18"/>
        </w:rPr>
      </w:pPr>
      <w:r>
        <w:rPr>
          <w:sz w:val="18"/>
        </w:rPr>
        <w:t>Xu, S., et al. (2007)</w:t>
      </w:r>
      <w:r w:rsidRPr="00F758CB">
        <w:rPr>
          <w:sz w:val="18"/>
        </w:rPr>
        <w:t xml:space="preserve"> MicroRNA (miRNA) Transcriptome of Mouse Retina and Identification of a Sensory Organ-specific miRNA Cluster. Journal of Biologi</w:t>
      </w:r>
      <w:r>
        <w:rPr>
          <w:sz w:val="18"/>
        </w:rPr>
        <w:t>cal Chemistry,</w:t>
      </w:r>
      <w:r w:rsidRPr="00F758CB">
        <w:rPr>
          <w:sz w:val="18"/>
        </w:rPr>
        <w:t xml:space="preserve"> 282(34): p. 25053-25066.</w:t>
      </w:r>
    </w:p>
    <w:p w:rsidR="00F758CB" w:rsidRDefault="00BC39EA" w:rsidP="00BC39EA">
      <w:pPr>
        <w:pStyle w:val="ListParagraph"/>
        <w:numPr>
          <w:ilvl w:val="0"/>
          <w:numId w:val="1"/>
        </w:numPr>
        <w:ind w:left="426"/>
        <w:rPr>
          <w:spacing w:val="-4"/>
          <w:sz w:val="18"/>
        </w:rPr>
      </w:pPr>
      <w:r>
        <w:rPr>
          <w:spacing w:val="-4"/>
          <w:sz w:val="18"/>
        </w:rPr>
        <w:t xml:space="preserve">ZHU, Q., et al. (2011) </w:t>
      </w:r>
      <w:r w:rsidRPr="00BC39EA">
        <w:rPr>
          <w:spacing w:val="-4"/>
          <w:sz w:val="18"/>
        </w:rPr>
        <w:t xml:space="preserve">Sponge Transgenic Mouse Model Reveals Important Roles for the MicroRNA-183 (miR-183)/96/182 Cluster in </w:t>
      </w:r>
      <w:proofErr w:type="spellStart"/>
      <w:r w:rsidRPr="00BC39EA">
        <w:rPr>
          <w:spacing w:val="-4"/>
          <w:sz w:val="18"/>
        </w:rPr>
        <w:t>Postmitotic</w:t>
      </w:r>
      <w:proofErr w:type="spellEnd"/>
      <w:r w:rsidRPr="00BC39EA">
        <w:rPr>
          <w:spacing w:val="-4"/>
          <w:sz w:val="18"/>
        </w:rPr>
        <w:t xml:space="preserve"> Photoreceptor</w:t>
      </w:r>
      <w:r>
        <w:rPr>
          <w:spacing w:val="-4"/>
          <w:sz w:val="18"/>
        </w:rPr>
        <w:t xml:space="preserve">s of the Retina. </w:t>
      </w:r>
      <w:r w:rsidRPr="00BC39EA">
        <w:rPr>
          <w:spacing w:val="-4"/>
          <w:sz w:val="18"/>
        </w:rPr>
        <w:t>ETATS-UNIS:</w:t>
      </w:r>
      <w:r w:rsidRPr="00F63BEB">
        <w:rPr>
          <w:rFonts w:ascii="Times New Roman" w:hAnsi="Times New Roman" w:cs="Times New Roman"/>
          <w:noProof/>
          <w:sz w:val="28"/>
          <w:szCs w:val="28"/>
        </w:rPr>
        <w:t xml:space="preserve"> </w:t>
      </w:r>
      <w:r w:rsidRPr="00BC39EA">
        <w:rPr>
          <w:spacing w:val="-4"/>
          <w:sz w:val="18"/>
        </w:rPr>
        <w:t xml:space="preserve">American Society for Biochemistry and Molecular Biology. </w:t>
      </w:r>
      <w:r>
        <w:rPr>
          <w:spacing w:val="-4"/>
          <w:sz w:val="18"/>
        </w:rPr>
        <w:t>286 (</w:t>
      </w:r>
      <w:r w:rsidRPr="00BC39EA">
        <w:rPr>
          <w:spacing w:val="-4"/>
          <w:sz w:val="18"/>
        </w:rPr>
        <w:t>12</w:t>
      </w:r>
      <w:r>
        <w:rPr>
          <w:spacing w:val="-4"/>
          <w:sz w:val="18"/>
        </w:rPr>
        <w:t>)</w:t>
      </w:r>
      <w:r w:rsidRPr="00BC39EA">
        <w:rPr>
          <w:spacing w:val="-4"/>
          <w:sz w:val="18"/>
        </w:rPr>
        <w:t>.</w:t>
      </w:r>
    </w:p>
    <w:p w:rsidR="00F758CB" w:rsidRDefault="00BC39EA" w:rsidP="00BC39EA">
      <w:pPr>
        <w:pStyle w:val="ListParagraph"/>
        <w:numPr>
          <w:ilvl w:val="0"/>
          <w:numId w:val="1"/>
        </w:numPr>
        <w:ind w:left="426"/>
        <w:rPr>
          <w:sz w:val="18"/>
        </w:rPr>
      </w:pPr>
      <w:proofErr w:type="spellStart"/>
      <w:r w:rsidRPr="00BC39EA">
        <w:rPr>
          <w:sz w:val="18"/>
        </w:rPr>
        <w:t>Swar</w:t>
      </w:r>
      <w:r>
        <w:rPr>
          <w:sz w:val="18"/>
        </w:rPr>
        <w:t>oop</w:t>
      </w:r>
      <w:proofErr w:type="spellEnd"/>
      <w:r>
        <w:rPr>
          <w:sz w:val="18"/>
        </w:rPr>
        <w:t>, A., D. Kim, and D. Forrest (2010)</w:t>
      </w:r>
      <w:r w:rsidRPr="00BC39EA">
        <w:rPr>
          <w:sz w:val="18"/>
        </w:rPr>
        <w:t xml:space="preserve"> Transcriptional regulation of photoreceptor development and homeostasis in the mammalian</w:t>
      </w:r>
      <w:r>
        <w:rPr>
          <w:sz w:val="18"/>
        </w:rPr>
        <w:t xml:space="preserve"> retina. Nat Rev </w:t>
      </w:r>
      <w:proofErr w:type="spellStart"/>
      <w:r>
        <w:rPr>
          <w:sz w:val="18"/>
        </w:rPr>
        <w:t>Neurosci</w:t>
      </w:r>
      <w:proofErr w:type="spellEnd"/>
      <w:r>
        <w:rPr>
          <w:sz w:val="18"/>
        </w:rPr>
        <w:t xml:space="preserve">, </w:t>
      </w:r>
      <w:r w:rsidRPr="00BC39EA">
        <w:rPr>
          <w:sz w:val="18"/>
        </w:rPr>
        <w:t>11(8): p. 563-576.</w:t>
      </w:r>
    </w:p>
    <w:p w:rsidR="00BC39EA" w:rsidRDefault="00D0357E" w:rsidP="00BC39EA">
      <w:pPr>
        <w:pStyle w:val="ListParagraph"/>
        <w:ind w:left="426"/>
        <w:rPr>
          <w:sz w:val="18"/>
        </w:rPr>
      </w:pPr>
      <w:r>
        <w:rPr>
          <w:rFonts w:ascii="Calibri"/>
          <w:noProof/>
          <w:sz w:val="4"/>
        </w:rPr>
        <mc:AlternateContent>
          <mc:Choice Requires="wpg">
            <w:drawing>
              <wp:anchor distT="0" distB="0" distL="114300" distR="114300" simplePos="0" relativeHeight="251661312" behindDoc="0" locked="0" layoutInCell="1" allowOverlap="1">
                <wp:simplePos x="0" y="0"/>
                <wp:positionH relativeFrom="margin">
                  <wp:posOffset>1658620</wp:posOffset>
                </wp:positionH>
                <wp:positionV relativeFrom="margin">
                  <wp:posOffset>8229600</wp:posOffset>
                </wp:positionV>
                <wp:extent cx="3297555" cy="20955"/>
                <wp:effectExtent l="0" t="0" r="0" b="0"/>
                <wp:wrapSquare wrapText="bothSides"/>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97555" cy="2095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2B909002" id="Group 4" o:spid="_x0000_s1026" style="position:absolute;margin-left:130.6pt;margin-top:9in;width:259.65pt;height:1.65pt;z-index:251661312;mso-position-horizontal-relative:margin;mso-position-vertical-relative:margin"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square" anchorx="margin" anchory="margin"/>
              </v:group>
            </w:pict>
          </mc:Fallback>
        </mc:AlternateContent>
      </w:r>
    </w:p>
    <w:p w:rsidR="00BC39EA" w:rsidRDefault="00430532" w:rsidP="00BC39EA">
      <w:pPr>
        <w:pStyle w:val="ListParagraph"/>
        <w:ind w:left="426"/>
        <w:rPr>
          <w:sz w:val="18"/>
        </w:rPr>
      </w:pPr>
      <w:r w:rsidRPr="001009BB">
        <w:rPr>
          <w:noProof/>
          <w:sz w:val="18"/>
        </w:rPr>
        <w:lastRenderedPageBreak/>
        <w:drawing>
          <wp:anchor distT="0" distB="0" distL="114300" distR="114300" simplePos="0" relativeHeight="251664384" behindDoc="0" locked="0" layoutInCell="1" allowOverlap="1">
            <wp:simplePos x="0" y="0"/>
            <wp:positionH relativeFrom="margin">
              <wp:posOffset>20955</wp:posOffset>
            </wp:positionH>
            <wp:positionV relativeFrom="margin">
              <wp:posOffset>-400050</wp:posOffset>
            </wp:positionV>
            <wp:extent cx="1066800" cy="1066800"/>
            <wp:effectExtent l="0" t="0" r="0" b="0"/>
            <wp:wrapSquare wrapText="bothSides"/>
            <wp:docPr id="3" name="Picture 3" descr="C:\Users\User\Desktop\0c6d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0c6de1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C39EA" w:rsidRDefault="00BC39EA" w:rsidP="00BC39EA">
      <w:pPr>
        <w:pStyle w:val="ListParagraph"/>
        <w:ind w:left="426"/>
        <w:rPr>
          <w:sz w:val="18"/>
        </w:rPr>
      </w:pPr>
    </w:p>
    <w:p w:rsidR="00BC39EA" w:rsidRDefault="00BC39EA" w:rsidP="00BC39EA">
      <w:pPr>
        <w:pStyle w:val="ListParagraph"/>
        <w:ind w:left="426"/>
        <w:rPr>
          <w:sz w:val="18"/>
        </w:rPr>
        <w:sectPr w:rsidR="00BC39EA" w:rsidSect="00FE386E">
          <w:type w:val="continuous"/>
          <w:pgSz w:w="12240" w:h="15840"/>
          <w:pgMar w:top="1440" w:right="567" w:bottom="1440" w:left="567" w:header="720" w:footer="720" w:gutter="0"/>
          <w:cols w:num="2" w:space="720"/>
          <w:docGrid w:linePitch="360"/>
        </w:sectPr>
      </w:pPr>
    </w:p>
    <w:p w:rsidR="00BC39EA" w:rsidRPr="00430532" w:rsidRDefault="00BC39EA" w:rsidP="00430532">
      <w:pPr>
        <w:rPr>
          <w:rFonts w:ascii="Arial"/>
          <w:color w:val="BF5A14"/>
        </w:rPr>
      </w:pPr>
      <w:r w:rsidRPr="00430532">
        <w:rPr>
          <w:rFonts w:ascii="Arial"/>
          <w:color w:val="BF5A14"/>
        </w:rPr>
        <w:t>Biography</w:t>
      </w:r>
    </w:p>
    <w:p w:rsidR="00D0357E" w:rsidRPr="00D0357E" w:rsidRDefault="00D0357E" w:rsidP="00D0357E">
      <w:pPr>
        <w:pStyle w:val="Body"/>
        <w:spacing w:after="0"/>
        <w:jc w:val="both"/>
        <w:rPr>
          <w:rFonts w:ascii="Arial" w:hAnsi="Arial" w:cs="Arial"/>
          <w:sz w:val="14"/>
          <w:szCs w:val="14"/>
        </w:rPr>
      </w:pPr>
      <w:r w:rsidRPr="00D0357E">
        <w:rPr>
          <w:rStyle w:val="st1"/>
          <w:rFonts w:ascii="Arial" w:hAnsi="Arial" w:cs="Arial"/>
          <w:sz w:val="14"/>
          <w:szCs w:val="14"/>
        </w:rPr>
        <w:t>Zahra-</w:t>
      </w:r>
      <w:proofErr w:type="spellStart"/>
      <w:r w:rsidRPr="00D0357E">
        <w:rPr>
          <w:rStyle w:val="st1"/>
          <w:rFonts w:ascii="Arial" w:hAnsi="Arial" w:cs="Arial"/>
          <w:sz w:val="14"/>
          <w:szCs w:val="14"/>
        </w:rPr>
        <w:t>Soheila</w:t>
      </w:r>
      <w:proofErr w:type="spellEnd"/>
      <w:r w:rsidRPr="00D0357E">
        <w:rPr>
          <w:rStyle w:val="st1"/>
          <w:rFonts w:ascii="Arial" w:hAnsi="Arial" w:cs="Arial"/>
          <w:sz w:val="14"/>
          <w:szCs w:val="14"/>
        </w:rPr>
        <w:t xml:space="preserve"> </w:t>
      </w:r>
      <w:proofErr w:type="spellStart"/>
      <w:r w:rsidRPr="00D0357E">
        <w:rPr>
          <w:rStyle w:val="st1"/>
          <w:rFonts w:ascii="Arial" w:hAnsi="Arial" w:cs="Arial"/>
          <w:sz w:val="14"/>
          <w:szCs w:val="14"/>
        </w:rPr>
        <w:t>Soheili</w:t>
      </w:r>
      <w:proofErr w:type="spellEnd"/>
      <w:r w:rsidRPr="00D0357E">
        <w:rPr>
          <w:rStyle w:val="st1"/>
          <w:rFonts w:ascii="Arial" w:hAnsi="Arial" w:cs="Arial"/>
          <w:sz w:val="14"/>
          <w:szCs w:val="14"/>
        </w:rPr>
        <w:t xml:space="preserve"> Ph.D. is an associate professor of cell and molecular biology </w:t>
      </w:r>
      <w:r w:rsidRPr="00D0357E">
        <w:rPr>
          <w:rStyle w:val="st1"/>
          <w:rFonts w:ascii="Arial" w:hAnsi="Arial" w:cs="Arial"/>
          <w:sz w:val="14"/>
          <w:szCs w:val="14"/>
          <w:u w:color="545454"/>
        </w:rPr>
        <w:t>at National Institute of Genetic Engineering and Biotechnology (NIGEB).</w:t>
      </w:r>
      <w:r w:rsidRPr="00D0357E">
        <w:rPr>
          <w:rStyle w:val="st1"/>
          <w:rFonts w:ascii="Arial" w:hAnsi="Arial" w:cs="Arial"/>
          <w:sz w:val="14"/>
          <w:szCs w:val="14"/>
        </w:rPr>
        <w:t xml:space="preserve">She graduated from the Institute of Biochemistry and Biophysics, </w:t>
      </w:r>
      <w:r w:rsidRPr="00D0357E">
        <w:rPr>
          <w:rStyle w:val="st1"/>
          <w:rFonts w:ascii="Arial" w:hAnsi="Arial" w:cs="Arial"/>
          <w:sz w:val="14"/>
          <w:szCs w:val="14"/>
          <w:lang w:val="de-DE"/>
        </w:rPr>
        <w:t>University of Tehran</w:t>
      </w:r>
      <w:r w:rsidRPr="00D0357E">
        <w:rPr>
          <w:rStyle w:val="st1"/>
          <w:rFonts w:ascii="Arial" w:hAnsi="Arial" w:cs="Arial"/>
          <w:sz w:val="14"/>
          <w:szCs w:val="14"/>
        </w:rPr>
        <w:t xml:space="preserve">, Iran in 2002. In 2003 she was recruited to NIGEB and became an instructor and junior investigator at the “medical biotechnology department”, where she studied on human retinal pigment epithelium cells’ biology, in vitro. Recently, her lab discovered two types of RPE cell lines and wrote a license agreement for </w:t>
      </w:r>
      <w:proofErr w:type="spellStart"/>
      <w:r w:rsidRPr="00D0357E">
        <w:rPr>
          <w:rStyle w:val="st1"/>
          <w:rFonts w:ascii="Arial" w:hAnsi="Arial" w:cs="Arial"/>
          <w:sz w:val="14"/>
          <w:szCs w:val="14"/>
        </w:rPr>
        <w:t>hRPE</w:t>
      </w:r>
      <w:proofErr w:type="spellEnd"/>
      <w:r w:rsidRPr="00D0357E">
        <w:rPr>
          <w:rStyle w:val="st1"/>
          <w:rFonts w:ascii="Arial" w:hAnsi="Arial" w:cs="Arial"/>
          <w:sz w:val="14"/>
          <w:szCs w:val="14"/>
        </w:rPr>
        <w:t xml:space="preserve"> cell line trademark. She established herself within the NIGEB community and rapidly risen through the ranks to become a s</w:t>
      </w:r>
      <w:proofErr w:type="spellStart"/>
      <w:r w:rsidRPr="00D0357E">
        <w:rPr>
          <w:rStyle w:val="st1"/>
          <w:rFonts w:ascii="Arial" w:hAnsi="Arial" w:cs="Arial"/>
          <w:sz w:val="14"/>
          <w:szCs w:val="14"/>
          <w:lang w:val="es-ES_tradnl"/>
        </w:rPr>
        <w:t>enior</w:t>
      </w:r>
      <w:proofErr w:type="spellEnd"/>
      <w:r w:rsidRPr="00D0357E">
        <w:rPr>
          <w:rStyle w:val="st1"/>
          <w:rFonts w:ascii="Arial" w:hAnsi="Arial" w:cs="Arial"/>
          <w:sz w:val="14"/>
          <w:szCs w:val="14"/>
          <w:lang w:val="es-ES_tradnl"/>
        </w:rPr>
        <w:t xml:space="preserve"> </w:t>
      </w:r>
      <w:r w:rsidRPr="00D0357E">
        <w:rPr>
          <w:rStyle w:val="st1"/>
          <w:rFonts w:ascii="Arial" w:hAnsi="Arial" w:cs="Arial"/>
          <w:sz w:val="14"/>
          <w:szCs w:val="14"/>
        </w:rPr>
        <w:t>investigator, currently at the associate professor level.</w:t>
      </w:r>
    </w:p>
    <w:p w:rsidR="00D0357E" w:rsidRDefault="00D0357E" w:rsidP="00D0357E">
      <w:pPr>
        <w:pStyle w:val="Body"/>
        <w:spacing w:after="0"/>
        <w:jc w:val="both"/>
        <w:rPr>
          <w:rStyle w:val="st1"/>
          <w:rFonts w:ascii="Arial" w:hAnsi="Arial" w:cs="Arial"/>
          <w:sz w:val="14"/>
          <w:szCs w:val="14"/>
        </w:rPr>
      </w:pPr>
      <w:r w:rsidRPr="00D0357E">
        <w:rPr>
          <w:rStyle w:val="st1"/>
          <w:rFonts w:ascii="Arial" w:hAnsi="Arial" w:cs="Arial"/>
          <w:sz w:val="14"/>
          <w:szCs w:val="14"/>
        </w:rPr>
        <w:t xml:space="preserve">In the past five years, she pursued novel therapies for important eye diseases, such as age-related macular degeneration (AMD) and retinitis </w:t>
      </w:r>
      <w:proofErr w:type="spellStart"/>
      <w:r w:rsidRPr="00D0357E">
        <w:rPr>
          <w:rStyle w:val="st1"/>
          <w:rFonts w:ascii="Arial" w:hAnsi="Arial" w:cs="Arial"/>
          <w:sz w:val="14"/>
          <w:szCs w:val="14"/>
        </w:rPr>
        <w:t>pigmentosa</w:t>
      </w:r>
      <w:proofErr w:type="spellEnd"/>
      <w:r w:rsidRPr="00D0357E">
        <w:rPr>
          <w:rStyle w:val="st1"/>
          <w:rFonts w:ascii="Arial" w:hAnsi="Arial" w:cs="Arial"/>
          <w:sz w:val="14"/>
          <w:szCs w:val="14"/>
        </w:rPr>
        <w:t>. She is working on designing and synthesis of chimeric protein molecules for molecular therapy of ocular diseases.</w:t>
      </w:r>
    </w:p>
    <w:p w:rsidR="00D0357E" w:rsidRDefault="00D0357E" w:rsidP="00D0357E">
      <w:pPr>
        <w:pStyle w:val="Body"/>
        <w:spacing w:after="0"/>
        <w:jc w:val="both"/>
        <w:rPr>
          <w:rStyle w:val="st1"/>
          <w:rFonts w:ascii="Arial" w:hAnsi="Arial" w:cs="Arial"/>
          <w:sz w:val="14"/>
          <w:szCs w:val="14"/>
        </w:rPr>
      </w:pPr>
    </w:p>
    <w:p w:rsidR="00D0357E" w:rsidRDefault="00D0357E" w:rsidP="00D0357E">
      <w:pPr>
        <w:pStyle w:val="Body"/>
        <w:spacing w:after="0"/>
        <w:jc w:val="both"/>
        <w:rPr>
          <w:rStyle w:val="st1"/>
          <w:rFonts w:ascii="Arial" w:hAnsi="Arial" w:cs="Arial"/>
          <w:sz w:val="14"/>
          <w:szCs w:val="14"/>
        </w:rPr>
      </w:pPr>
    </w:p>
    <w:p w:rsidR="00D0357E" w:rsidRPr="00D0357E" w:rsidRDefault="00D0357E" w:rsidP="00D0357E">
      <w:pPr>
        <w:jc w:val="center"/>
        <w:rPr>
          <w:rFonts w:ascii="Arial" w:hAnsi="Arial" w:cs="Arial"/>
          <w:sz w:val="14"/>
          <w:szCs w:val="14"/>
        </w:rPr>
      </w:pPr>
      <w:r>
        <w:rPr>
          <w:noProof/>
        </w:rPr>
        <mc:AlternateContent>
          <mc:Choice Requires="wps">
            <w:drawing>
              <wp:anchor distT="0" distB="0" distL="0" distR="0" simplePos="0" relativeHeight="251663360" behindDoc="0" locked="0" layoutInCell="1" allowOverlap="1" wp14:anchorId="74A4AAD4" wp14:editId="6C3A8904">
                <wp:simplePos x="0" y="0"/>
                <wp:positionH relativeFrom="page">
                  <wp:posOffset>2245995</wp:posOffset>
                </wp:positionH>
                <wp:positionV relativeFrom="paragraph">
                  <wp:posOffset>282575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02BC4" id="Line 3"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6.85pt,22.25pt" to="447.9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" strokecolor="#004080" strokeweight=".5pt">
                <w10:wrap type="topAndBottom" anchorx="page"/>
              </v:line>
            </w:pict>
          </mc:Fallback>
        </mc:AlternateContent>
      </w:r>
      <w:r>
        <w:rPr>
          <w:rStyle w:val="st1"/>
          <w:rFonts w:ascii="Arial" w:hAnsi="Arial" w:cs="Arial"/>
          <w:sz w:val="14"/>
          <w:szCs w:val="14"/>
        </w:rPr>
        <w:t xml:space="preserve">Email: </w:t>
      </w:r>
      <w:hyperlink r:id="rId7" w:history="1">
        <w:r w:rsidRPr="00D0357E">
          <w:rPr>
            <w:rStyle w:val="Hyperlink"/>
            <w:rFonts w:ascii="Arial" w:hAnsi="Arial" w:cs="Arial"/>
            <w:sz w:val="14"/>
            <w:szCs w:val="14"/>
          </w:rPr>
          <w:t>soheili@nigeb.ac.ir</w:t>
        </w:r>
      </w:hyperlink>
    </w:p>
    <w:p w:rsidR="00D0357E" w:rsidRDefault="00D0357E" w:rsidP="00D0357E">
      <w:pPr>
        <w:pStyle w:val="Body"/>
        <w:spacing w:after="0"/>
        <w:jc w:val="center"/>
        <w:rPr>
          <w:rStyle w:val="st1"/>
          <w:rFonts w:ascii="Arial" w:hAnsi="Arial" w:cs="Arial"/>
          <w:sz w:val="14"/>
          <w:szCs w:val="14"/>
        </w:rPr>
      </w:pPr>
      <w:bookmarkStart w:id="0" w:name="_GoBack"/>
      <w:bookmarkEnd w:id="0"/>
    </w:p>
    <w:p w:rsidR="00D0357E" w:rsidRPr="00BC39EA" w:rsidRDefault="00D0357E" w:rsidP="00D0357E">
      <w:pPr>
        <w:pStyle w:val="Body"/>
        <w:spacing w:after="0"/>
        <w:jc w:val="center"/>
        <w:rPr>
          <w:sz w:val="18"/>
        </w:rPr>
      </w:pPr>
    </w:p>
    <w:sectPr w:rsidR="00D0357E" w:rsidRPr="00BC39EA" w:rsidSect="00BC39EA">
      <w:type w:val="continuous"/>
      <w:pgSz w:w="12240" w:h="15840"/>
      <w:pgMar w:top="1440" w:right="567" w:bottom="1440"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441578"/>
    <w:multiLevelType w:val="hybridMultilevel"/>
    <w:tmpl w:val="489AD172"/>
    <w:lvl w:ilvl="0" w:tplc="97AE51D2">
      <w:start w:val="1"/>
      <w:numFmt w:val="decimal"/>
      <w:lvlText w:val="%1."/>
      <w:lvlJc w:val="left"/>
      <w:pPr>
        <w:ind w:left="720" w:hanging="360"/>
      </w:pPr>
      <w:rPr>
        <w:rFonts w:asciiTheme="minorHAnsi" w:hAnsiTheme="minorHAnsi" w:cstheme="minorHAnsi" w:hint="default"/>
        <w:sz w:val="22"/>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86E"/>
    <w:rsid w:val="001009BB"/>
    <w:rsid w:val="00430532"/>
    <w:rsid w:val="007714A5"/>
    <w:rsid w:val="007E3334"/>
    <w:rsid w:val="00BC39EA"/>
    <w:rsid w:val="00C73223"/>
    <w:rsid w:val="00D0357E"/>
    <w:rsid w:val="00F758CB"/>
    <w:rsid w:val="00FE38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9B38A4A8-14AD-4C5C-8A19-C776F8E87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386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758CB"/>
    <w:pPr>
      <w:ind w:left="720"/>
      <w:contextualSpacing/>
    </w:pPr>
  </w:style>
  <w:style w:type="paragraph" w:customStyle="1" w:styleId="Body">
    <w:name w:val="Body"/>
    <w:rsid w:val="00D0357E"/>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GB"/>
    </w:rPr>
  </w:style>
  <w:style w:type="character" w:customStyle="1" w:styleId="st1">
    <w:name w:val="st1"/>
    <w:rsid w:val="00D0357E"/>
    <w:rPr>
      <w:lang w:val="en-US"/>
    </w:rPr>
  </w:style>
  <w:style w:type="character" w:styleId="Hyperlink">
    <w:name w:val="Hyperlink"/>
    <w:basedOn w:val="DefaultParagraphFont"/>
    <w:uiPriority w:val="99"/>
    <w:unhideWhenUsed/>
    <w:rsid w:val="00D0357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oheili@nigeb.ac.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613</Words>
  <Characters>3498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2017-11-06T11:29:00Z</dcterms:created>
  <dcterms:modified xsi:type="dcterms:W3CDTF">2017-11-13T16:33:00Z</dcterms:modified>
</cp:coreProperties>
</file>