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419F8" w14:textId="692EDF7C" w:rsidR="003678E6" w:rsidRPr="000C02CB" w:rsidRDefault="00EC6F6A" w:rsidP="003678E6">
      <w:pPr>
        <w:shd w:val="clear" w:color="auto" w:fill="FFFFFF"/>
        <w:spacing w:after="0" w:line="240" w:lineRule="auto"/>
        <w:outlineLvl w:val="0"/>
        <w:rPr>
          <w:rFonts w:ascii="Arial" w:eastAsia="Times New Roman" w:hAnsi="Arial" w:cs="Arial"/>
          <w:b/>
          <w:bCs/>
          <w:color w:val="8A7A67"/>
          <w:kern w:val="36"/>
          <w:sz w:val="20"/>
          <w:szCs w:val="20"/>
        </w:rPr>
      </w:pPr>
      <w:bookmarkStart w:id="0" w:name="_GoBack"/>
      <w:r w:rsidRPr="000C02CB">
        <w:rPr>
          <w:rFonts w:ascii="Arial" w:eastAsia="Times New Roman" w:hAnsi="Arial" w:cs="Arial"/>
          <w:b/>
          <w:bCs/>
          <w:color w:val="8A7A67"/>
          <w:kern w:val="36"/>
          <w:sz w:val="20"/>
          <w:szCs w:val="20"/>
        </w:rPr>
        <w:t>Duba</w:t>
      </w:r>
      <w:r w:rsidR="000C02CB">
        <w:rPr>
          <w:rFonts w:ascii="Arial" w:eastAsia="Times New Roman" w:hAnsi="Arial" w:cs="Arial"/>
          <w:b/>
          <w:bCs/>
          <w:color w:val="8A7A67"/>
          <w:kern w:val="36"/>
          <w:sz w:val="20"/>
          <w:szCs w:val="20"/>
        </w:rPr>
        <w:t>i, April 25-28</w:t>
      </w:r>
      <w:r w:rsidR="000C02CB" w:rsidRPr="000C02CB">
        <w:rPr>
          <w:rFonts w:ascii="Arial" w:eastAsia="Times New Roman" w:hAnsi="Arial" w:cs="Arial"/>
          <w:b/>
          <w:bCs/>
          <w:color w:val="8A7A67"/>
          <w:kern w:val="36"/>
          <w:sz w:val="20"/>
          <w:szCs w:val="20"/>
        </w:rPr>
        <w:t>, 2018</w:t>
      </w:r>
    </w:p>
    <w:p w14:paraId="69352358" w14:textId="77777777" w:rsidR="003678E6" w:rsidRPr="008E4775" w:rsidRDefault="003678E6" w:rsidP="003678E6">
      <w:pPr>
        <w:spacing w:after="0" w:line="240" w:lineRule="auto"/>
        <w:jc w:val="both"/>
        <w:rPr>
          <w:rFonts w:ascii="Arial" w:hAnsi="Arial" w:cs="Arial"/>
          <w:b/>
          <w:sz w:val="24"/>
          <w:szCs w:val="24"/>
        </w:rPr>
      </w:pPr>
    </w:p>
    <w:p w14:paraId="3699E885" w14:textId="77777777" w:rsidR="003678E6" w:rsidRPr="008E4775" w:rsidRDefault="003678E6" w:rsidP="003678E6">
      <w:pPr>
        <w:spacing w:after="0" w:line="240" w:lineRule="auto"/>
        <w:jc w:val="both"/>
        <w:rPr>
          <w:rFonts w:ascii="Arial" w:hAnsi="Arial" w:cs="Arial"/>
          <w:b/>
          <w:sz w:val="24"/>
          <w:szCs w:val="24"/>
        </w:rPr>
      </w:pPr>
      <w:r w:rsidRPr="008E4775">
        <w:rPr>
          <w:rFonts w:ascii="Arial" w:hAnsi="Arial" w:cs="Arial"/>
          <w:b/>
          <w:sz w:val="24"/>
          <w:szCs w:val="24"/>
        </w:rPr>
        <w:t xml:space="preserve">The potential use of </w:t>
      </w:r>
      <w:r>
        <w:rPr>
          <w:rFonts w:ascii="Arial" w:hAnsi="Arial" w:cs="Arial"/>
          <w:b/>
          <w:sz w:val="24"/>
          <w:szCs w:val="24"/>
        </w:rPr>
        <w:t xml:space="preserve">placenta &amp; cord tissue derived </w:t>
      </w:r>
      <w:r w:rsidRPr="008E4775">
        <w:rPr>
          <w:rFonts w:ascii="Arial" w:hAnsi="Arial" w:cs="Arial"/>
          <w:b/>
          <w:sz w:val="24"/>
          <w:szCs w:val="24"/>
        </w:rPr>
        <w:t>mesenchymal stromal cells for regenerative medicine</w:t>
      </w:r>
    </w:p>
    <w:p w14:paraId="497A1254" w14:textId="77777777" w:rsidR="00863F12" w:rsidRDefault="00863F12" w:rsidP="00863F12">
      <w:pPr>
        <w:spacing w:after="0" w:line="240" w:lineRule="auto"/>
        <w:rPr>
          <w:rFonts w:ascii="Arial" w:hAnsi="Arial" w:cs="Arial"/>
          <w:color w:val="090003"/>
          <w:sz w:val="24"/>
          <w:szCs w:val="24"/>
        </w:rPr>
      </w:pPr>
    </w:p>
    <w:p w14:paraId="786AC31B" w14:textId="041013E0" w:rsidR="003678E6" w:rsidRPr="00B808D3" w:rsidRDefault="003678E6" w:rsidP="00B808D3">
      <w:pPr>
        <w:spacing w:after="0" w:line="240" w:lineRule="auto"/>
        <w:rPr>
          <w:rFonts w:ascii="Arial" w:hAnsi="Arial" w:cs="Arial"/>
          <w:sz w:val="24"/>
          <w:szCs w:val="24"/>
          <w:lang w:val="x-none"/>
        </w:rPr>
      </w:pPr>
      <w:r w:rsidRPr="00B808D3">
        <w:rPr>
          <w:rFonts w:ascii="Arial" w:hAnsi="Arial" w:cs="Arial"/>
          <w:color w:val="090003"/>
          <w:sz w:val="24"/>
          <w:szCs w:val="24"/>
        </w:rPr>
        <w:t xml:space="preserve">Shimon </w:t>
      </w:r>
      <w:proofErr w:type="spellStart"/>
      <w:r w:rsidRPr="00B808D3">
        <w:rPr>
          <w:rFonts w:ascii="Arial" w:hAnsi="Arial" w:cs="Arial"/>
          <w:color w:val="090003"/>
          <w:sz w:val="24"/>
          <w:szCs w:val="24"/>
        </w:rPr>
        <w:t>Slavin</w:t>
      </w:r>
      <w:proofErr w:type="spellEnd"/>
      <w:r w:rsidRPr="00B808D3">
        <w:rPr>
          <w:rFonts w:ascii="Arial" w:hAnsi="Arial" w:cs="Arial"/>
          <w:color w:val="090003"/>
          <w:sz w:val="24"/>
          <w:szCs w:val="24"/>
        </w:rPr>
        <w:t xml:space="preserve">, </w:t>
      </w:r>
      <w:r w:rsidR="00B808D3" w:rsidRPr="00B808D3">
        <w:rPr>
          <w:rFonts w:ascii="Arial" w:hAnsi="Arial" w:cs="Arial"/>
          <w:color w:val="090003"/>
          <w:sz w:val="24"/>
          <w:szCs w:val="24"/>
        </w:rPr>
        <w:t xml:space="preserve">Biotherapy International, </w:t>
      </w:r>
      <w:r w:rsidR="00B808D3" w:rsidRPr="00B808D3">
        <w:rPr>
          <w:rFonts w:ascii="Arial" w:hAnsi="Arial" w:cs="Arial"/>
          <w:sz w:val="24"/>
          <w:szCs w:val="24"/>
          <w:lang w:val="x-none"/>
        </w:rPr>
        <w:t xml:space="preserve">The International Center for Cancer Biotherapy &amp; </w:t>
      </w:r>
      <w:r w:rsidR="00B808D3" w:rsidRPr="00B808D3">
        <w:rPr>
          <w:rFonts w:ascii="Arial" w:eastAsia="ＭＳ 明朝" w:hAnsi="Arial" w:cs="Arial"/>
          <w:sz w:val="24"/>
          <w:szCs w:val="24"/>
        </w:rPr>
        <w:t xml:space="preserve">Regenerative Medicine, 14 Weizmann Street, </w:t>
      </w:r>
      <w:r w:rsidR="00B808D3" w:rsidRPr="00B808D3">
        <w:rPr>
          <w:rFonts w:ascii="Arial" w:hAnsi="Arial" w:cs="Arial"/>
          <w:sz w:val="24"/>
          <w:szCs w:val="24"/>
          <w:lang w:val="x-none"/>
        </w:rPr>
        <w:t>Tel Aviv 64239, Israel</w:t>
      </w:r>
    </w:p>
    <w:p w14:paraId="30BF90FA" w14:textId="77777777" w:rsidR="00B808D3" w:rsidRPr="00B808D3" w:rsidRDefault="00B808D3" w:rsidP="00B808D3">
      <w:pPr>
        <w:spacing w:after="0" w:line="240" w:lineRule="auto"/>
        <w:rPr>
          <w:rFonts w:ascii="Arial" w:hAnsi="Arial" w:cs="Arial"/>
          <w:iCs/>
          <w:sz w:val="24"/>
          <w:szCs w:val="24"/>
          <w:lang w:val="x-none"/>
        </w:rPr>
      </w:pPr>
    </w:p>
    <w:p w14:paraId="32CBE26A" w14:textId="56AAA180" w:rsidR="003678E6" w:rsidRPr="00B808D3" w:rsidRDefault="003678E6" w:rsidP="00B808D3">
      <w:pPr>
        <w:spacing w:after="0" w:line="240" w:lineRule="auto"/>
        <w:rPr>
          <w:rFonts w:ascii="Arial" w:hAnsi="Arial" w:cs="Arial"/>
          <w:sz w:val="24"/>
          <w:szCs w:val="24"/>
          <w:lang w:val="x-none"/>
        </w:rPr>
      </w:pPr>
      <w:bookmarkStart w:id="1" w:name="OLE_LINK40"/>
      <w:bookmarkStart w:id="2" w:name="OLE_LINK41"/>
      <w:r w:rsidRPr="00B808D3">
        <w:rPr>
          <w:rFonts w:ascii="Arial" w:hAnsi="Arial" w:cs="Arial"/>
          <w:sz w:val="24"/>
          <w:szCs w:val="24"/>
          <w:lang w:val="x-none"/>
        </w:rPr>
        <w:t>Multi</w:t>
      </w:r>
      <w:r w:rsidRPr="008E4775">
        <w:rPr>
          <w:rFonts w:ascii="Arial" w:hAnsi="Arial" w:cs="Arial"/>
          <w:sz w:val="24"/>
          <w:szCs w:val="24"/>
          <w:lang w:val="x-none"/>
        </w:rPr>
        <w:t xml:space="preserve">-potent </w:t>
      </w:r>
      <w:r w:rsidRPr="00137878">
        <w:rPr>
          <w:rFonts w:ascii="Arial" w:eastAsia="ＭＳ 明朝" w:hAnsi="Arial" w:cs="Arial"/>
          <w:sz w:val="24"/>
          <w:szCs w:val="24"/>
          <w:lang w:val="en-US"/>
        </w:rPr>
        <w:t xml:space="preserve">mesenchymal stromal cells (MSC) can be isolated and expanded from the placenta &amp; cord tissue of newborn babies. MSCs can be expanded by culturing and used for treatment of a broad spectrum of clinical indications. MSC genome is very stable and culturing does not result in potentially cancerous mutations. MSCs migrate spontaneously to sites of inflammation and damage and as such can be used for down-regulation of non-specific inflammatory conditions or for treatment of autoimmune diseases or for turning off alloreactivity mediated by donor T cells for patients with steroid resistant graft-vs-host disease. </w:t>
      </w:r>
    </w:p>
    <w:p w14:paraId="52B9BCDF" w14:textId="057D9E82" w:rsidR="003678E6" w:rsidRPr="00137878" w:rsidRDefault="003678E6" w:rsidP="00863F12">
      <w:pPr>
        <w:widowControl w:val="0"/>
        <w:autoSpaceDE w:val="0"/>
        <w:autoSpaceDN w:val="0"/>
        <w:adjustRightInd w:val="0"/>
        <w:spacing w:after="0" w:line="240" w:lineRule="auto"/>
        <w:rPr>
          <w:rFonts w:ascii="Arial" w:eastAsia="ＭＳ 明朝" w:hAnsi="Arial" w:cs="Arial"/>
          <w:sz w:val="24"/>
          <w:szCs w:val="24"/>
          <w:lang w:val="en-US"/>
        </w:rPr>
      </w:pPr>
      <w:r w:rsidRPr="00137878">
        <w:rPr>
          <w:rFonts w:ascii="Arial" w:eastAsia="ＭＳ 明朝" w:hAnsi="Arial" w:cs="Arial"/>
          <w:sz w:val="24"/>
          <w:szCs w:val="24"/>
          <w:lang w:val="en-US"/>
        </w:rPr>
        <w:t>In addition to their anti-inflammatory effects, we have documented that MSCs can be differentiated by special methods we developed into neural stem cells, astrocytes, oligodendrocytes, dopaminergic neurons and motor neurons.  Differentiated MSC were also shown to secrete neurotrophic factors that may help regulate the function of the brain and also play an important role in repairing damaged neurons.  Such neurotrophic factors may also be therapeutically effective through activation of locally residing multi-potent stem cells located throughout the central nervous system.  MSCs can actively migrate to sites of damage and inflammation and as such may possibly induce remyelination and repair existing neuronal damage as well as down-regulate the anti-</w:t>
      </w:r>
      <w:r w:rsidR="006B22D7" w:rsidRPr="00137878">
        <w:rPr>
          <w:rFonts w:ascii="Arial" w:eastAsia="ＭＳ 明朝" w:hAnsi="Arial" w:cs="Arial"/>
          <w:sz w:val="24"/>
          <w:szCs w:val="24"/>
          <w:lang w:val="en-US"/>
        </w:rPr>
        <w:t>self-reactivity</w:t>
      </w:r>
      <w:r w:rsidRPr="00137878">
        <w:rPr>
          <w:rFonts w:ascii="Arial" w:eastAsia="ＭＳ 明朝" w:hAnsi="Arial" w:cs="Arial"/>
          <w:sz w:val="24"/>
          <w:szCs w:val="24"/>
          <w:lang w:val="en-US"/>
        </w:rPr>
        <w:t xml:space="preserve"> in patients with autoimmune diseases. Theoretically, treatment with MSC can be therapeutically effective against disease manifestations in clinical conditions associated with primary or secondary inflammatory or autoimmune mechanisms as well as be used for regenerative medicine for treatment of a large number of clinical indications.</w:t>
      </w:r>
      <w:bookmarkEnd w:id="1"/>
      <w:bookmarkEnd w:id="2"/>
      <w:r w:rsidRPr="00137878">
        <w:rPr>
          <w:rFonts w:ascii="Arial" w:eastAsia="ＭＳ 明朝" w:hAnsi="Arial" w:cs="Arial"/>
          <w:sz w:val="24"/>
          <w:szCs w:val="24"/>
          <w:lang w:val="en-US"/>
        </w:rPr>
        <w:t xml:space="preserve"> </w:t>
      </w:r>
      <w:r w:rsidRPr="008E4775">
        <w:rPr>
          <w:rFonts w:ascii="Arial" w:hAnsi="Arial" w:cs="Arial"/>
          <w:sz w:val="24"/>
          <w:szCs w:val="24"/>
          <w:lang w:val="x-none"/>
        </w:rPr>
        <w:t>Based on our successful preliminary pi</w:t>
      </w:r>
      <w:r>
        <w:rPr>
          <w:rFonts w:ascii="Arial" w:hAnsi="Arial" w:cs="Arial"/>
          <w:sz w:val="24"/>
          <w:szCs w:val="24"/>
          <w:lang w:val="x-none"/>
        </w:rPr>
        <w:t>lot study in 13 patients with multiple sclerosis (MS)</w:t>
      </w:r>
      <w:r w:rsidRPr="008E4775">
        <w:rPr>
          <w:rFonts w:ascii="Arial" w:hAnsi="Arial" w:cs="Arial"/>
          <w:sz w:val="24"/>
          <w:szCs w:val="24"/>
          <w:lang w:val="x-none"/>
        </w:rPr>
        <w:t xml:space="preserve"> and</w:t>
      </w:r>
      <w:r>
        <w:rPr>
          <w:rFonts w:ascii="Arial" w:hAnsi="Arial" w:cs="Arial"/>
          <w:sz w:val="24"/>
          <w:szCs w:val="24"/>
          <w:lang w:val="x-none"/>
        </w:rPr>
        <w:t xml:space="preserve"> 14 with amyotrophic lateral sclerosis (ALS)</w:t>
      </w:r>
      <w:r w:rsidRPr="008E4775">
        <w:rPr>
          <w:rFonts w:ascii="Arial" w:hAnsi="Arial" w:cs="Arial"/>
          <w:sz w:val="24"/>
          <w:szCs w:val="24"/>
          <w:lang w:val="x-none"/>
        </w:rPr>
        <w:t>, a total of &gt;400 patients were similarly treated at our center, mostly patients with MS and ALS. Treatment consisted of intrathecal administration of 10</w:t>
      </w:r>
      <w:r w:rsidRPr="008E4775">
        <w:rPr>
          <w:rFonts w:ascii="Arial" w:hAnsi="Arial" w:cs="Arial"/>
          <w:sz w:val="24"/>
          <w:szCs w:val="24"/>
          <w:vertAlign w:val="superscript"/>
          <w:lang w:val="x-none"/>
        </w:rPr>
        <w:t>6</w:t>
      </w:r>
      <w:r w:rsidRPr="008E4775">
        <w:rPr>
          <w:rFonts w:ascii="Arial" w:hAnsi="Arial" w:cs="Arial"/>
          <w:sz w:val="24"/>
          <w:szCs w:val="24"/>
          <w:lang w:val="x-none"/>
        </w:rPr>
        <w:t xml:space="preserve"> undifferentiated autologous bone marrow derived MSC/Kg and additional 0.5 - 1x10</w:t>
      </w:r>
      <w:r w:rsidRPr="008E4775">
        <w:rPr>
          <w:rFonts w:ascii="Arial" w:hAnsi="Arial" w:cs="Arial"/>
          <w:sz w:val="24"/>
          <w:szCs w:val="24"/>
          <w:vertAlign w:val="superscript"/>
          <w:lang w:val="x-none"/>
        </w:rPr>
        <w:t xml:space="preserve">6 </w:t>
      </w:r>
      <w:r w:rsidRPr="008E4775">
        <w:rPr>
          <w:rFonts w:ascii="Arial" w:hAnsi="Arial" w:cs="Arial"/>
          <w:sz w:val="24"/>
          <w:szCs w:val="24"/>
          <w:lang w:val="x-none"/>
        </w:rPr>
        <w:t>MSC/Kg intravenously. The treatment was uneventful with headache due to lumbar puncture being the most frequent complaint (70%) and self-limited subfebrile temperature in 25% with no additional serious side effect.  A total of nearly 60 % of patien</w:t>
      </w:r>
      <w:r>
        <w:rPr>
          <w:rFonts w:ascii="Arial" w:hAnsi="Arial" w:cs="Arial"/>
          <w:sz w:val="24"/>
          <w:szCs w:val="24"/>
          <w:lang w:val="x-none"/>
        </w:rPr>
        <w:t>ts reported improved outcome, but only</w:t>
      </w:r>
      <w:r w:rsidRPr="008E4775">
        <w:rPr>
          <w:rFonts w:ascii="Arial" w:hAnsi="Arial" w:cs="Arial"/>
          <w:sz w:val="24"/>
          <w:szCs w:val="24"/>
          <w:lang w:val="x-none"/>
        </w:rPr>
        <w:t xml:space="preserve"> very few with</w:t>
      </w:r>
      <w:r>
        <w:rPr>
          <w:rFonts w:ascii="Arial" w:hAnsi="Arial" w:cs="Arial"/>
          <w:sz w:val="24"/>
          <w:szCs w:val="24"/>
          <w:lang w:val="x-none"/>
        </w:rPr>
        <w:t xml:space="preserve"> most</w:t>
      </w:r>
      <w:r w:rsidRPr="008E4775">
        <w:rPr>
          <w:rFonts w:ascii="Arial" w:hAnsi="Arial" w:cs="Arial"/>
          <w:sz w:val="24"/>
          <w:szCs w:val="24"/>
          <w:lang w:val="x-none"/>
        </w:rPr>
        <w:t xml:space="preserve"> significant objective improvement of EDSS </w:t>
      </w:r>
      <w:r>
        <w:rPr>
          <w:rFonts w:ascii="Arial" w:hAnsi="Arial" w:cs="Arial"/>
          <w:sz w:val="24"/>
          <w:szCs w:val="24"/>
          <w:lang w:val="x-none"/>
        </w:rPr>
        <w:t xml:space="preserve">and ALSFRS </w:t>
      </w:r>
      <w:r w:rsidRPr="008E4775">
        <w:rPr>
          <w:rFonts w:ascii="Arial" w:hAnsi="Arial" w:cs="Arial"/>
          <w:sz w:val="24"/>
          <w:szCs w:val="24"/>
          <w:lang w:val="x-none"/>
        </w:rPr>
        <w:t>score</w:t>
      </w:r>
      <w:r>
        <w:rPr>
          <w:rFonts w:ascii="Arial" w:hAnsi="Arial" w:cs="Arial"/>
          <w:sz w:val="24"/>
          <w:szCs w:val="24"/>
          <w:lang w:val="x-none"/>
        </w:rPr>
        <w:t>s</w:t>
      </w:r>
      <w:r w:rsidRPr="008E4775">
        <w:rPr>
          <w:rFonts w:ascii="Arial" w:hAnsi="Arial" w:cs="Arial"/>
          <w:sz w:val="24"/>
          <w:szCs w:val="24"/>
          <w:lang w:val="x-none"/>
        </w:rPr>
        <w:t xml:space="preserve"> and improvement of performance, with nearly 40% repeorting no benefit</w:t>
      </w:r>
      <w:r>
        <w:rPr>
          <w:rFonts w:ascii="Arial" w:hAnsi="Arial" w:cs="Arial"/>
          <w:sz w:val="24"/>
          <w:szCs w:val="24"/>
          <w:lang w:val="x-none"/>
        </w:rPr>
        <w:t xml:space="preserve"> yet with no treatment related deterioration of perfromance status</w:t>
      </w:r>
      <w:r w:rsidRPr="008E4775">
        <w:rPr>
          <w:rFonts w:ascii="Arial" w:hAnsi="Arial" w:cs="Arial"/>
          <w:sz w:val="24"/>
          <w:szCs w:val="24"/>
          <w:lang w:val="x-none"/>
        </w:rPr>
        <w:t xml:space="preserve">. Current investigations focus on potential improving the outcome of treatment of neurological disrders using placenta &amp; cord tissue derived MSCs differentiated into neural stem cells, oligodendrocytes, astrocytes and motor neurons in relevant pre-clinical animal modles. We conclude that treatment with </w:t>
      </w:r>
      <w:r w:rsidRPr="008E4775">
        <w:rPr>
          <w:rFonts w:ascii="Arial" w:hAnsi="Arial" w:cs="Arial"/>
          <w:sz w:val="24"/>
          <w:szCs w:val="24"/>
          <w:lang w:val="x-none"/>
        </w:rPr>
        <w:lastRenderedPageBreak/>
        <w:t>undifferentiated MSCs is safe and potentially effective for treatment of certain</w:t>
      </w:r>
      <w:r w:rsidR="00863F12">
        <w:rPr>
          <w:rFonts w:ascii="Arial" w:hAnsi="Arial" w:cs="Arial"/>
          <w:sz w:val="24"/>
          <w:szCs w:val="24"/>
          <w:lang w:val="x-none"/>
        </w:rPr>
        <w:t xml:space="preserve"> clinical indications. O</w:t>
      </w:r>
      <w:r>
        <w:rPr>
          <w:rFonts w:ascii="Arial" w:hAnsi="Arial" w:cs="Arial"/>
          <w:sz w:val="24"/>
          <w:szCs w:val="24"/>
          <w:lang w:val="x-none"/>
        </w:rPr>
        <w:t>ur working hypo</w:t>
      </w:r>
      <w:r w:rsidRPr="008E4775">
        <w:rPr>
          <w:rFonts w:ascii="Arial" w:hAnsi="Arial" w:cs="Arial"/>
          <w:sz w:val="24"/>
          <w:szCs w:val="24"/>
          <w:lang w:val="x-none"/>
        </w:rPr>
        <w:t xml:space="preserve">thesis is that </w:t>
      </w:r>
      <w:r w:rsidR="00863F12">
        <w:rPr>
          <w:rFonts w:ascii="Arial" w:hAnsi="Arial" w:cs="Arial"/>
          <w:sz w:val="24"/>
          <w:szCs w:val="24"/>
          <w:lang w:val="x-none"/>
        </w:rPr>
        <w:t xml:space="preserve">treatment with MSCs </w:t>
      </w:r>
      <w:r w:rsidRPr="008E4775">
        <w:rPr>
          <w:rFonts w:ascii="Arial" w:hAnsi="Arial" w:cs="Arial"/>
          <w:sz w:val="24"/>
          <w:szCs w:val="24"/>
          <w:lang w:val="x-none"/>
        </w:rPr>
        <w:t>differentiated</w:t>
      </w:r>
      <w:r w:rsidR="00863F12">
        <w:rPr>
          <w:rFonts w:ascii="Arial" w:hAnsi="Arial" w:cs="Arial"/>
          <w:sz w:val="24"/>
          <w:szCs w:val="24"/>
          <w:lang w:val="x-none"/>
        </w:rPr>
        <w:t xml:space="preserve"> prior to cell infusion or in vivo by targeting</w:t>
      </w:r>
      <w:r w:rsidRPr="008E4775">
        <w:rPr>
          <w:rFonts w:ascii="Arial" w:hAnsi="Arial" w:cs="Arial"/>
          <w:sz w:val="24"/>
          <w:szCs w:val="24"/>
          <w:lang w:val="x-none"/>
        </w:rPr>
        <w:t xml:space="preserve"> MSCs</w:t>
      </w:r>
      <w:r w:rsidR="00863F12">
        <w:rPr>
          <w:rFonts w:ascii="Arial" w:hAnsi="Arial" w:cs="Arial"/>
          <w:sz w:val="24"/>
          <w:szCs w:val="24"/>
          <w:lang w:val="x-none"/>
        </w:rPr>
        <w:t xml:space="preserve"> to the site of damage</w:t>
      </w:r>
      <w:r w:rsidRPr="008E4775">
        <w:rPr>
          <w:rFonts w:ascii="Arial" w:hAnsi="Arial" w:cs="Arial"/>
          <w:sz w:val="24"/>
          <w:szCs w:val="24"/>
          <w:lang w:val="x-none"/>
        </w:rPr>
        <w:t xml:space="preserve"> may offer greater chance for im</w:t>
      </w:r>
      <w:r w:rsidR="00863F12">
        <w:rPr>
          <w:rFonts w:ascii="Arial" w:hAnsi="Arial" w:cs="Arial"/>
          <w:sz w:val="24"/>
          <w:szCs w:val="24"/>
          <w:lang w:val="x-none"/>
        </w:rPr>
        <w:t xml:space="preserve">proving the clinical ourtcome </w:t>
      </w:r>
      <w:r w:rsidRPr="008E4775">
        <w:rPr>
          <w:rFonts w:ascii="Arial" w:hAnsi="Arial" w:cs="Arial"/>
          <w:sz w:val="24"/>
          <w:szCs w:val="24"/>
          <w:lang w:val="x-none"/>
        </w:rPr>
        <w:t>of neuroinflammatory and neuro</w:t>
      </w:r>
      <w:r>
        <w:rPr>
          <w:rFonts w:ascii="Arial" w:hAnsi="Arial" w:cs="Arial"/>
          <w:sz w:val="24"/>
          <w:szCs w:val="24"/>
          <w:lang w:val="x-none"/>
        </w:rPr>
        <w:t>degenerative disorders</w:t>
      </w:r>
      <w:r w:rsidRPr="008E4775">
        <w:rPr>
          <w:rFonts w:ascii="Arial" w:hAnsi="Arial" w:cs="Arial"/>
          <w:sz w:val="24"/>
          <w:szCs w:val="24"/>
          <w:lang w:val="x-none"/>
        </w:rPr>
        <w:t xml:space="preserve"> and</w:t>
      </w:r>
      <w:r w:rsidR="00E005EF">
        <w:rPr>
          <w:rFonts w:ascii="Arial" w:hAnsi="Arial" w:cs="Arial"/>
          <w:sz w:val="24"/>
          <w:szCs w:val="24"/>
          <w:lang w:val="x-none"/>
        </w:rPr>
        <w:t xml:space="preserve"> possibly other </w:t>
      </w:r>
      <w:r w:rsidRPr="008E4775">
        <w:rPr>
          <w:rFonts w:ascii="Arial" w:hAnsi="Arial" w:cs="Arial"/>
          <w:sz w:val="24"/>
          <w:szCs w:val="24"/>
          <w:lang w:val="x-none"/>
        </w:rPr>
        <w:t xml:space="preserve">unmet needs in </w:t>
      </w:r>
      <w:r w:rsidRPr="00137878">
        <w:rPr>
          <w:rFonts w:ascii="Arial" w:eastAsia="ＭＳ 明朝" w:hAnsi="Arial" w:cs="Arial"/>
          <w:sz w:val="24"/>
          <w:szCs w:val="24"/>
          <w:lang w:val="en-US"/>
        </w:rPr>
        <w:t>regenerative medicine as well</w:t>
      </w:r>
      <w:r w:rsidRPr="008E4775">
        <w:rPr>
          <w:rFonts w:ascii="Arial" w:hAnsi="Arial" w:cs="Arial"/>
          <w:sz w:val="24"/>
          <w:szCs w:val="24"/>
          <w:lang w:val="x-none"/>
        </w:rPr>
        <w:t>.</w:t>
      </w:r>
    </w:p>
    <w:p w14:paraId="3A8F91FA" w14:textId="77777777" w:rsidR="003678E6" w:rsidRPr="008E4775" w:rsidRDefault="003678E6" w:rsidP="003678E6">
      <w:pPr>
        <w:spacing w:after="0" w:line="240" w:lineRule="auto"/>
        <w:rPr>
          <w:rFonts w:ascii="Arial" w:hAnsi="Arial" w:cs="Arial"/>
          <w:sz w:val="24"/>
          <w:szCs w:val="24"/>
        </w:rPr>
      </w:pPr>
    </w:p>
    <w:p w14:paraId="30DFEAEE" w14:textId="77777777" w:rsidR="003678E6" w:rsidRPr="008E4775" w:rsidRDefault="003678E6" w:rsidP="003678E6">
      <w:pPr>
        <w:spacing w:after="0" w:line="240" w:lineRule="auto"/>
        <w:rPr>
          <w:rFonts w:ascii="Arial" w:hAnsi="Arial" w:cs="Arial"/>
          <w:sz w:val="24"/>
          <w:szCs w:val="24"/>
        </w:rPr>
      </w:pPr>
    </w:p>
    <w:p w14:paraId="19446E67" w14:textId="77777777" w:rsidR="00805DF8" w:rsidRDefault="00805DF8"/>
    <w:bookmarkEnd w:id="0"/>
    <w:sectPr w:rsidR="00805DF8" w:rsidSect="00A8012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E6"/>
    <w:rsid w:val="000C02CB"/>
    <w:rsid w:val="00184AD0"/>
    <w:rsid w:val="00360A89"/>
    <w:rsid w:val="003678E6"/>
    <w:rsid w:val="006B22D7"/>
    <w:rsid w:val="00805DF8"/>
    <w:rsid w:val="00863F12"/>
    <w:rsid w:val="009C5A9B"/>
    <w:rsid w:val="00B808D3"/>
    <w:rsid w:val="00CD335D"/>
    <w:rsid w:val="00E005EF"/>
    <w:rsid w:val="00E009A5"/>
    <w:rsid w:val="00EC6F6A"/>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34EE6B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678E6"/>
    <w:pPr>
      <w:spacing w:after="200" w:line="276" w:lineRule="auto"/>
    </w:pPr>
    <w:rPr>
      <w:rFonts w:ascii="Cambria" w:eastAsia="Cambria" w:hAnsi="Cambria" w:cs="Times New Roman"/>
      <w:sz w:val="22"/>
      <w:szCs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3089</Characters>
  <Application>Microsoft Macintosh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Dubai, April 25-28, 2018</vt:lpstr>
    </vt:vector>
  </TitlesOfParts>
  <LinksUpToDate>false</LinksUpToDate>
  <CharactersWithSpaces>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פרופ. שמעון סלוין</dc:creator>
  <cp:keywords/>
  <dc:description/>
  <cp:lastModifiedBy>פרופ. שמעון סלוין</cp:lastModifiedBy>
  <cp:revision>2</cp:revision>
  <dcterms:created xsi:type="dcterms:W3CDTF">2017-09-06T15:38:00Z</dcterms:created>
  <dcterms:modified xsi:type="dcterms:W3CDTF">2017-09-06T15:38:00Z</dcterms:modified>
</cp:coreProperties>
</file>