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2CE" w:rsidRPr="0005164C" w:rsidRDefault="001A52CE" w:rsidP="0046009A">
      <w:pPr>
        <w:pStyle w:val="Author"/>
        <w:jc w:val="both"/>
        <w:rPr>
          <w:rFonts w:eastAsia="MS Mincho"/>
          <w:sz w:val="18"/>
          <w:szCs w:val="18"/>
        </w:rPr>
        <w:sectPr w:rsidR="001A52CE" w:rsidRPr="0005164C" w:rsidSect="0046009A">
          <w:pgSz w:w="11909" w:h="16834" w:code="9"/>
          <w:pgMar w:top="864" w:right="734" w:bottom="864" w:left="734" w:header="720" w:footer="720" w:gutter="0"/>
          <w:cols w:space="720"/>
          <w:docGrid w:linePitch="360"/>
        </w:sectPr>
      </w:pPr>
    </w:p>
    <w:p w:rsidR="001A52CE" w:rsidRPr="009D49B8" w:rsidRDefault="001A52CE" w:rsidP="00C626AB">
      <w:pPr>
        <w:jc w:val="both"/>
        <w:rPr>
          <w:rFonts w:eastAsia="MS PGothic"/>
          <w:b/>
          <w:color w:val="000000"/>
          <w:sz w:val="22"/>
          <w:szCs w:val="22"/>
        </w:rPr>
      </w:pPr>
      <w:r w:rsidRPr="009D49B8">
        <w:rPr>
          <w:rFonts w:eastAsia="MS PGothic"/>
          <w:b/>
          <w:color w:val="000000"/>
          <w:sz w:val="22"/>
          <w:szCs w:val="22"/>
        </w:rPr>
        <w:lastRenderedPageBreak/>
        <w:t xml:space="preserve">Title: </w:t>
      </w:r>
      <w:r w:rsidR="00C626AB" w:rsidRPr="00C626AB">
        <w:rPr>
          <w:rFonts w:eastAsia="MS PGothic"/>
          <w:b/>
          <w:color w:val="000000"/>
          <w:sz w:val="22"/>
          <w:szCs w:val="22"/>
        </w:rPr>
        <w:t>Synergistic anti-cancer effects of Nigella sativa seed oil and conventional cytotoxic</w:t>
      </w:r>
      <w:r w:rsidR="00C626AB">
        <w:rPr>
          <w:rFonts w:eastAsia="MS PGothic"/>
          <w:b/>
          <w:color w:val="000000"/>
          <w:sz w:val="22"/>
          <w:szCs w:val="22"/>
        </w:rPr>
        <w:t xml:space="preserve"> </w:t>
      </w:r>
      <w:r w:rsidR="00C626AB" w:rsidRPr="00C626AB">
        <w:rPr>
          <w:rFonts w:eastAsia="MS PGothic"/>
          <w:b/>
          <w:color w:val="000000"/>
          <w:sz w:val="22"/>
          <w:szCs w:val="22"/>
        </w:rPr>
        <w:t>agent against human breast cancer</w:t>
      </w:r>
      <w:r w:rsidR="00C626AB">
        <w:rPr>
          <w:rFonts w:eastAsia="MS PGothic"/>
          <w:b/>
          <w:color w:val="000000"/>
          <w:sz w:val="22"/>
          <w:szCs w:val="22"/>
        </w:rPr>
        <w:t>.</w:t>
      </w:r>
    </w:p>
    <w:p w:rsidR="001A52CE" w:rsidRPr="009D49B8" w:rsidRDefault="001A52CE" w:rsidP="001A52CE">
      <w:pPr>
        <w:jc w:val="both"/>
        <w:rPr>
          <w:rFonts w:eastAsia="MS PGothic"/>
          <w:color w:val="000000"/>
          <w:sz w:val="22"/>
          <w:szCs w:val="22"/>
        </w:rPr>
      </w:pPr>
    </w:p>
    <w:p w:rsidR="001A52CE" w:rsidRPr="003C0794" w:rsidRDefault="00834F3F" w:rsidP="00C626AB">
      <w:pPr>
        <w:shd w:val="clear" w:color="auto" w:fill="FFFFFF"/>
        <w:spacing w:after="150"/>
        <w:jc w:val="both"/>
        <w:rPr>
          <w:sz w:val="19"/>
          <w:szCs w:val="19"/>
          <w:lang w:val="en-IN" w:eastAsia="en-IN"/>
        </w:rPr>
      </w:pPr>
      <w:r>
        <w:rPr>
          <w:b/>
          <w:bCs/>
          <w:sz w:val="19"/>
          <w:szCs w:val="19"/>
          <w:lang w:val="en-IN" w:eastAsia="en-IN"/>
        </w:rPr>
        <w:t>Waheed A</w:t>
      </w:r>
      <w:r w:rsidR="00C626AB">
        <w:rPr>
          <w:b/>
          <w:bCs/>
          <w:sz w:val="19"/>
          <w:szCs w:val="19"/>
          <w:lang w:val="en-IN" w:eastAsia="en-IN"/>
        </w:rPr>
        <w:t xml:space="preserve">. </w:t>
      </w:r>
      <w:r>
        <w:rPr>
          <w:b/>
          <w:bCs/>
          <w:sz w:val="19"/>
          <w:szCs w:val="19"/>
          <w:lang w:val="en-IN" w:eastAsia="en-IN"/>
        </w:rPr>
        <w:t>Baig</w:t>
      </w:r>
      <w:hyperlink r:id="rId5" w:anchor="a1" w:history="1">
        <w:r w:rsidRPr="0005164C">
          <w:rPr>
            <w:b/>
            <w:bCs/>
            <w:sz w:val="19"/>
            <w:szCs w:val="19"/>
            <w:vertAlign w:val="superscript"/>
            <w:lang w:val="en-IN" w:eastAsia="en-IN"/>
          </w:rPr>
          <w:t>1</w:t>
        </w:r>
      </w:hyperlink>
      <w:r w:rsidR="001A52CE" w:rsidRPr="0005164C">
        <w:rPr>
          <w:b/>
          <w:bCs/>
          <w:sz w:val="19"/>
          <w:szCs w:val="19"/>
          <w:lang w:val="en-IN" w:eastAsia="en-IN"/>
        </w:rPr>
        <w:t xml:space="preserve">, </w:t>
      </w:r>
      <w:r w:rsidR="00C626AB">
        <w:rPr>
          <w:b/>
          <w:bCs/>
          <w:sz w:val="19"/>
          <w:szCs w:val="19"/>
          <w:lang w:val="en-IN" w:eastAsia="en-IN"/>
        </w:rPr>
        <w:t>Kholoud Alwosaibai</w:t>
      </w:r>
      <w:r w:rsidR="00C626AB" w:rsidRPr="00C626AB">
        <w:rPr>
          <w:b/>
          <w:bCs/>
          <w:sz w:val="19"/>
          <w:szCs w:val="19"/>
          <w:vertAlign w:val="superscript"/>
          <w:lang w:val="en-IN" w:eastAsia="en-IN"/>
        </w:rPr>
        <w:t>2</w:t>
      </w:r>
      <w:hyperlink r:id="rId6" w:anchor="a1" w:history="1"/>
      <w:r w:rsidR="001A52CE" w:rsidRPr="0005164C">
        <w:rPr>
          <w:b/>
          <w:bCs/>
          <w:sz w:val="19"/>
          <w:szCs w:val="19"/>
          <w:lang w:val="en-IN" w:eastAsia="en-IN"/>
        </w:rPr>
        <w:t xml:space="preserve">, </w:t>
      </w:r>
      <w:r w:rsidR="00C626AB" w:rsidRPr="00C626AB">
        <w:rPr>
          <w:b/>
          <w:bCs/>
          <w:sz w:val="19"/>
          <w:szCs w:val="19"/>
          <w:lang w:val="en-IN" w:eastAsia="en-IN"/>
        </w:rPr>
        <w:t>Khalid M. Al Jubran</w:t>
      </w:r>
      <w:hyperlink r:id="rId7" w:anchor="a1" w:history="1">
        <w:r w:rsidR="00C626AB" w:rsidRPr="0005164C">
          <w:rPr>
            <w:b/>
            <w:bCs/>
            <w:sz w:val="19"/>
            <w:szCs w:val="19"/>
            <w:vertAlign w:val="superscript"/>
            <w:lang w:val="en-IN" w:eastAsia="en-IN"/>
          </w:rPr>
          <w:t>1</w:t>
        </w:r>
      </w:hyperlink>
      <w:r w:rsidR="00C626AB">
        <w:rPr>
          <w:b/>
          <w:bCs/>
          <w:sz w:val="19"/>
          <w:szCs w:val="19"/>
          <w:lang w:val="en-IN" w:eastAsia="en-IN"/>
        </w:rPr>
        <w:t xml:space="preserve">, </w:t>
      </w:r>
      <w:r w:rsidR="00C626AB" w:rsidRPr="00C626AB">
        <w:rPr>
          <w:b/>
          <w:bCs/>
          <w:sz w:val="19"/>
          <w:szCs w:val="19"/>
          <w:lang w:val="en-IN" w:eastAsia="en-IN"/>
        </w:rPr>
        <w:t>Tariq M. Chaudhry</w:t>
      </w:r>
      <w:hyperlink r:id="rId8" w:anchor="a1" w:history="1">
        <w:r w:rsidR="00C626AB" w:rsidRPr="0005164C">
          <w:rPr>
            <w:b/>
            <w:bCs/>
            <w:sz w:val="19"/>
            <w:szCs w:val="19"/>
            <w:vertAlign w:val="superscript"/>
            <w:lang w:val="en-IN" w:eastAsia="en-IN"/>
          </w:rPr>
          <w:t>1</w:t>
        </w:r>
      </w:hyperlink>
      <w:r w:rsidR="00C626AB">
        <w:rPr>
          <w:b/>
          <w:bCs/>
          <w:sz w:val="19"/>
          <w:szCs w:val="19"/>
          <w:lang w:val="en-IN" w:eastAsia="en-IN"/>
        </w:rPr>
        <w:t xml:space="preserve">, </w:t>
      </w:r>
      <w:r w:rsidR="00C626AB" w:rsidRPr="00C626AB">
        <w:rPr>
          <w:b/>
          <w:bCs/>
          <w:sz w:val="19"/>
          <w:szCs w:val="19"/>
          <w:lang w:val="en-IN" w:eastAsia="en-IN"/>
        </w:rPr>
        <w:t>Nouf Al-Dowish</w:t>
      </w:r>
      <w:r w:rsidR="00C626AB">
        <w:rPr>
          <w:b/>
          <w:bCs/>
          <w:sz w:val="19"/>
          <w:szCs w:val="19"/>
          <w:vertAlign w:val="superscript"/>
          <w:lang w:val="en-IN" w:eastAsia="en-IN"/>
        </w:rPr>
        <w:t>2</w:t>
      </w:r>
      <w:r w:rsidR="00C626AB">
        <w:rPr>
          <w:b/>
          <w:bCs/>
          <w:sz w:val="19"/>
          <w:szCs w:val="19"/>
          <w:lang w:val="en-IN" w:eastAsia="en-IN"/>
        </w:rPr>
        <w:t xml:space="preserve">, </w:t>
      </w:r>
      <w:r w:rsidR="00C626AB" w:rsidRPr="00C626AB">
        <w:rPr>
          <w:b/>
          <w:bCs/>
          <w:sz w:val="19"/>
          <w:szCs w:val="19"/>
          <w:lang w:val="en-IN" w:eastAsia="en-IN"/>
        </w:rPr>
        <w:t>Fatimah Alsaffar</w:t>
      </w:r>
      <w:r w:rsidR="001A52CE">
        <w:rPr>
          <w:b/>
          <w:bCs/>
          <w:sz w:val="19"/>
          <w:szCs w:val="19"/>
          <w:vertAlign w:val="superscript"/>
          <w:lang w:val="en-IN" w:eastAsia="en-IN"/>
        </w:rPr>
        <w:t>2</w:t>
      </w:r>
    </w:p>
    <w:p w:rsidR="001A52CE" w:rsidRPr="00351E9B" w:rsidRDefault="001A52CE" w:rsidP="00834F3F">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834F3F">
        <w:rPr>
          <w:sz w:val="19"/>
          <w:szCs w:val="19"/>
          <w:lang w:val="en-IN" w:eastAsia="en-IN"/>
        </w:rPr>
        <w:t>Clinical Laboratory Science</w:t>
      </w:r>
      <w:r w:rsidRPr="00351E9B">
        <w:rPr>
          <w:sz w:val="19"/>
          <w:szCs w:val="19"/>
          <w:lang w:val="en-IN" w:eastAsia="en-IN"/>
        </w:rPr>
        <w:t xml:space="preserve">, </w:t>
      </w:r>
      <w:r w:rsidR="00834F3F">
        <w:rPr>
          <w:sz w:val="19"/>
          <w:szCs w:val="19"/>
          <w:lang w:val="en-IN" w:eastAsia="en-IN"/>
        </w:rPr>
        <w:t>Prince Sultan Military College of Health Sciences</w:t>
      </w:r>
      <w:r w:rsidRPr="00351E9B">
        <w:rPr>
          <w:sz w:val="19"/>
          <w:szCs w:val="19"/>
          <w:lang w:val="en-IN" w:eastAsia="en-IN"/>
        </w:rPr>
        <w:t xml:space="preserve">, </w:t>
      </w:r>
      <w:r w:rsidR="00834F3F">
        <w:rPr>
          <w:sz w:val="19"/>
          <w:szCs w:val="19"/>
          <w:lang w:val="en-IN" w:eastAsia="en-IN"/>
        </w:rPr>
        <w:t>Dhahran</w:t>
      </w:r>
      <w:r w:rsidRPr="00351E9B">
        <w:rPr>
          <w:sz w:val="19"/>
          <w:szCs w:val="19"/>
          <w:lang w:val="en-IN" w:eastAsia="en-IN"/>
        </w:rPr>
        <w:t xml:space="preserve">, </w:t>
      </w:r>
      <w:r w:rsidR="00834F3F">
        <w:rPr>
          <w:sz w:val="19"/>
          <w:szCs w:val="19"/>
          <w:lang w:val="en-IN" w:eastAsia="en-IN"/>
        </w:rPr>
        <w:t>Saudi Arabia</w:t>
      </w:r>
    </w:p>
    <w:p w:rsidR="001A52CE" w:rsidRPr="00351E9B" w:rsidRDefault="001A52CE" w:rsidP="00C626AB">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C626AB" w:rsidRPr="00C626AB">
        <w:rPr>
          <w:sz w:val="19"/>
          <w:szCs w:val="19"/>
          <w:lang w:val="en-IN" w:eastAsia="en-IN"/>
        </w:rPr>
        <w:t>Oncology &amp; Immunology Research Center, King Fahd Specialist Hospital, Dammam, Saudi Arabia</w:t>
      </w:r>
    </w:p>
    <w:p w:rsidR="001A52CE" w:rsidRPr="00351E9B" w:rsidRDefault="001A52CE" w:rsidP="001A52CE">
      <w:pPr>
        <w:rPr>
          <w:rFonts w:eastAsia="MS Mincho"/>
          <w:sz w:val="19"/>
          <w:szCs w:val="19"/>
        </w:rPr>
      </w:pPr>
    </w:p>
    <w:p w:rsidR="001A52CE" w:rsidRPr="0005164C" w:rsidRDefault="001A52CE" w:rsidP="001A52CE">
      <w:pPr>
        <w:rPr>
          <w:rFonts w:eastAsia="MS Mincho"/>
          <w:sz w:val="19"/>
          <w:szCs w:val="19"/>
        </w:rPr>
      </w:pPr>
    </w:p>
    <w:p w:rsidR="001A52CE" w:rsidRDefault="001A52CE" w:rsidP="001A52CE">
      <w:pPr>
        <w:jc w:val="both"/>
        <w:rPr>
          <w:rFonts w:eastAsia="MS Mincho"/>
          <w:sz w:val="19"/>
          <w:szCs w:val="19"/>
        </w:rPr>
      </w:pPr>
    </w:p>
    <w:p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rsidR="001A52CE" w:rsidRPr="0005164C" w:rsidRDefault="001A52CE" w:rsidP="00C626AB">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C626AB" w:rsidRPr="00C626AB">
        <w:rPr>
          <w:bCs w:val="0"/>
          <w:i w:val="0"/>
          <w:iCs w:val="0"/>
          <w:noProof w:val="0"/>
          <w:sz w:val="19"/>
          <w:szCs w:val="19"/>
          <w:lang w:val="en-IN" w:eastAsia="en-IN"/>
        </w:rPr>
        <w:t xml:space="preserve">Breast cancer, Nigella </w:t>
      </w:r>
      <w:r w:rsidR="00C626AB">
        <w:rPr>
          <w:bCs w:val="0"/>
          <w:i w:val="0"/>
          <w:iCs w:val="0"/>
          <w:noProof w:val="0"/>
          <w:sz w:val="19"/>
          <w:szCs w:val="19"/>
          <w:lang w:val="en-IN" w:eastAsia="en-IN"/>
        </w:rPr>
        <w:t>S</w:t>
      </w:r>
      <w:r w:rsidR="00C626AB" w:rsidRPr="00C626AB">
        <w:rPr>
          <w:bCs w:val="0"/>
          <w:i w:val="0"/>
          <w:iCs w:val="0"/>
          <w:noProof w:val="0"/>
          <w:sz w:val="19"/>
          <w:szCs w:val="19"/>
          <w:lang w:val="en-IN" w:eastAsia="en-IN"/>
        </w:rPr>
        <w:t>ativa, Doxorubicin, Synergistic effect, Anti-cancer</w:t>
      </w:r>
    </w:p>
    <w:p w:rsidR="001A52CE" w:rsidRPr="0005164C" w:rsidRDefault="001A52CE" w:rsidP="001A52CE">
      <w:pPr>
        <w:pStyle w:val="keywords"/>
        <w:ind w:firstLine="0"/>
        <w:rPr>
          <w:b w:val="0"/>
          <w:bCs w:val="0"/>
          <w:i w:val="0"/>
          <w:iCs w:val="0"/>
          <w:noProof w:val="0"/>
          <w:sz w:val="19"/>
          <w:szCs w:val="19"/>
          <w:lang w:val="en-IN" w:eastAsia="en-IN"/>
        </w:rPr>
      </w:pPr>
    </w:p>
    <w:p w:rsidR="001A52CE" w:rsidRPr="0005164C" w:rsidRDefault="0046009A" w:rsidP="0046009A">
      <w:pPr>
        <w:pStyle w:val="keywords"/>
        <w:numPr>
          <w:ilvl w:val="0"/>
          <w:numId w:val="2"/>
        </w:numPr>
        <w:rPr>
          <w:bCs w:val="0"/>
          <w:i w:val="0"/>
          <w:iCs w:val="0"/>
          <w:noProof w:val="0"/>
          <w:sz w:val="19"/>
          <w:szCs w:val="19"/>
          <w:lang w:val="en-IN" w:eastAsia="en-IN"/>
        </w:rPr>
      </w:pPr>
      <w:r>
        <w:rPr>
          <w:bCs w:val="0"/>
          <w:i w:val="0"/>
          <w:iCs w:val="0"/>
          <w:noProof w:val="0"/>
          <w:sz w:val="19"/>
          <w:szCs w:val="19"/>
          <w:lang w:val="en-IN" w:eastAsia="en-IN"/>
        </w:rPr>
        <w:t xml:space="preserve">Abstract </w:t>
      </w:r>
    </w:p>
    <w:p w:rsidR="00C626AB" w:rsidRPr="00C626AB" w:rsidRDefault="00C626AB" w:rsidP="00E7271A">
      <w:pPr>
        <w:jc w:val="both"/>
        <w:rPr>
          <w:sz w:val="19"/>
          <w:szCs w:val="19"/>
          <w:lang w:val="en-IN" w:eastAsia="en-IN"/>
        </w:rPr>
      </w:pPr>
      <w:r w:rsidRPr="00C626AB">
        <w:rPr>
          <w:sz w:val="19"/>
          <w:szCs w:val="19"/>
          <w:lang w:val="en-IN" w:eastAsia="en-IN"/>
        </w:rPr>
        <w:t xml:space="preserve">Breast cancer is the most commonly diagnosed invasive non-skin malignancy in women worldwide, and it is the leading cause of cancer-related deaths in women. </w:t>
      </w:r>
      <w:proofErr w:type="gramStart"/>
      <w:r w:rsidRPr="00C626AB">
        <w:rPr>
          <w:sz w:val="19"/>
          <w:szCs w:val="19"/>
          <w:lang w:val="en-IN" w:eastAsia="en-IN"/>
        </w:rPr>
        <w:t>Nigella sativa seed oil</w:t>
      </w:r>
      <w:proofErr w:type="gramEnd"/>
      <w:r w:rsidRPr="00C626AB">
        <w:rPr>
          <w:sz w:val="19"/>
          <w:szCs w:val="19"/>
          <w:lang w:val="en-IN" w:eastAsia="en-IN"/>
        </w:rPr>
        <w:t xml:space="preserve"> has been found to be effective in cancer treatment, as well as having anti-cancer properties in some other types of cancers. The study looked into the synergistic cytotoxic effects of Nigella sativa seed oil and doxorubicin in the</w:t>
      </w:r>
      <w:r>
        <w:rPr>
          <w:sz w:val="19"/>
          <w:szCs w:val="19"/>
          <w:lang w:val="en-IN" w:eastAsia="en-IN"/>
        </w:rPr>
        <w:t xml:space="preserve"> </w:t>
      </w:r>
      <w:r w:rsidR="00E7271A">
        <w:rPr>
          <w:sz w:val="19"/>
          <w:szCs w:val="19"/>
          <w:lang w:val="en-IN" w:eastAsia="en-IN"/>
        </w:rPr>
        <w:t>t</w:t>
      </w:r>
      <w:r w:rsidRPr="00C626AB">
        <w:rPr>
          <w:sz w:val="19"/>
          <w:szCs w:val="19"/>
          <w:lang w:val="en-IN" w:eastAsia="en-IN"/>
        </w:rPr>
        <w:t xml:space="preserve">reatment of human breast cancer cells (MCF-7). </w:t>
      </w:r>
    </w:p>
    <w:p w:rsidR="00C626AB" w:rsidRPr="00C626AB" w:rsidRDefault="00C626AB" w:rsidP="00E7271A">
      <w:pPr>
        <w:jc w:val="both"/>
        <w:rPr>
          <w:sz w:val="19"/>
          <w:szCs w:val="19"/>
          <w:lang w:val="en-IN" w:eastAsia="en-IN"/>
        </w:rPr>
      </w:pPr>
      <w:r w:rsidRPr="00C626AB">
        <w:rPr>
          <w:sz w:val="19"/>
          <w:szCs w:val="19"/>
          <w:lang w:val="en-IN" w:eastAsia="en-IN"/>
        </w:rPr>
        <w:t>Nigella sativa seed oil was used to evaluate its effect on human breast cancer cells, either alone or i</w:t>
      </w:r>
      <w:r w:rsidR="00E7271A">
        <w:rPr>
          <w:sz w:val="19"/>
          <w:szCs w:val="19"/>
          <w:lang w:val="en-IN" w:eastAsia="en-IN"/>
        </w:rPr>
        <w:t>n conjunction with doxorubicin.</w:t>
      </w:r>
      <w:r w:rsidRPr="00C626AB">
        <w:rPr>
          <w:sz w:val="19"/>
          <w:szCs w:val="19"/>
          <w:lang w:val="en-IN" w:eastAsia="en-IN"/>
        </w:rPr>
        <w:t xml:space="preserve">3-(4,5-dimethylthiazol-2-yl)-2,5-diphenyltetrazolium bromide (MTT) tests were used to examine cell proliferation and cell viability, while phase contrast inverted microscopy was used to examine cellular morphology. Furthermore, the role of Nigella sativa seed oil in decreasing cell </w:t>
      </w:r>
      <w:proofErr w:type="spellStart"/>
      <w:r w:rsidRPr="00C626AB">
        <w:rPr>
          <w:sz w:val="19"/>
          <w:szCs w:val="19"/>
          <w:lang w:val="en-IN" w:eastAsia="en-IN"/>
        </w:rPr>
        <w:t>tumorgenicity</w:t>
      </w:r>
      <w:proofErr w:type="spellEnd"/>
      <w:r w:rsidRPr="00C626AB">
        <w:rPr>
          <w:sz w:val="19"/>
          <w:szCs w:val="19"/>
          <w:lang w:val="en-IN" w:eastAsia="en-IN"/>
        </w:rPr>
        <w:t xml:space="preserve"> features </w:t>
      </w:r>
      <w:proofErr w:type="gramStart"/>
      <w:r w:rsidRPr="00C626AB">
        <w:rPr>
          <w:sz w:val="19"/>
          <w:szCs w:val="19"/>
          <w:lang w:val="en-IN" w:eastAsia="en-IN"/>
        </w:rPr>
        <w:t>was highlighted</w:t>
      </w:r>
      <w:proofErr w:type="gramEnd"/>
      <w:r w:rsidRPr="00C626AB">
        <w:rPr>
          <w:sz w:val="19"/>
          <w:szCs w:val="19"/>
          <w:lang w:val="en-IN" w:eastAsia="en-IN"/>
        </w:rPr>
        <w:t xml:space="preserve"> by testing the cancer cell migration using the wound healing assay. </w:t>
      </w:r>
    </w:p>
    <w:p w:rsidR="00E7271A" w:rsidRPr="00E7271A" w:rsidRDefault="00C626AB" w:rsidP="00E7271A">
      <w:pPr>
        <w:jc w:val="both"/>
        <w:rPr>
          <w:sz w:val="19"/>
          <w:szCs w:val="19"/>
          <w:lang w:val="en-IN" w:eastAsia="en-IN"/>
        </w:rPr>
      </w:pPr>
      <w:r w:rsidRPr="00C626AB">
        <w:rPr>
          <w:sz w:val="19"/>
          <w:szCs w:val="19"/>
          <w:lang w:val="en-IN" w:eastAsia="en-IN"/>
        </w:rPr>
        <w:t xml:space="preserve">Results showed that higher concentrations (50µg/ml) of Nigella sativa seed oil changed the </w:t>
      </w:r>
      <w:proofErr w:type="gramStart"/>
      <w:r w:rsidRPr="00C626AB">
        <w:rPr>
          <w:sz w:val="19"/>
          <w:szCs w:val="19"/>
          <w:lang w:val="en-IN" w:eastAsia="en-IN"/>
        </w:rPr>
        <w:t>breast cancer cell morphology</w:t>
      </w:r>
      <w:proofErr w:type="gramEnd"/>
      <w:r w:rsidRPr="00C626AB">
        <w:rPr>
          <w:sz w:val="19"/>
          <w:szCs w:val="19"/>
          <w:lang w:val="en-IN" w:eastAsia="en-IN"/>
        </w:rPr>
        <w:t xml:space="preserve"> and decreased the cell proliferation and viability. Breast cancer cells treated with black seed oil decreased cell movement after 24 hours compared to the untreated cell in the wound healing assay. Whereas, only the higher concentration of doxorubicin (0.5µg/ml-2.5µg/ml) reduced cell proliferation and</w:t>
      </w:r>
      <w:r w:rsidR="00E7271A">
        <w:rPr>
          <w:sz w:val="19"/>
          <w:szCs w:val="19"/>
          <w:lang w:val="en-IN" w:eastAsia="en-IN"/>
        </w:rPr>
        <w:t xml:space="preserve"> </w:t>
      </w:r>
      <w:r w:rsidR="00E7271A" w:rsidRPr="00E7271A">
        <w:rPr>
          <w:sz w:val="19"/>
          <w:szCs w:val="19"/>
          <w:lang w:val="en-IN" w:eastAsia="en-IN"/>
        </w:rPr>
        <w:t xml:space="preserve">the cell viability. Moreover, the combination treatment of 50ug/ml of black seed oil with different concentrations of doxorubicin caused a significant cell proliferation reduction and decreased cell viability. The activity was seen optimum at lower concentration (0.1µg /ml) of doxorubicin. </w:t>
      </w:r>
    </w:p>
    <w:p w:rsidR="001A52CE" w:rsidRDefault="00E7271A" w:rsidP="00E7271A">
      <w:pPr>
        <w:jc w:val="both"/>
        <w:rPr>
          <w:sz w:val="19"/>
          <w:szCs w:val="19"/>
          <w:lang w:val="en-IN" w:eastAsia="en-IN"/>
        </w:rPr>
      </w:pPr>
      <w:r w:rsidRPr="00E7271A">
        <w:rPr>
          <w:sz w:val="19"/>
          <w:szCs w:val="19"/>
          <w:lang w:val="en-IN" w:eastAsia="en-IN"/>
        </w:rPr>
        <w:t xml:space="preserve">There was decreased cell proliferation and cell viability when Nigella sativa seed oil </w:t>
      </w:r>
      <w:proofErr w:type="gramStart"/>
      <w:r w:rsidRPr="00E7271A">
        <w:rPr>
          <w:sz w:val="19"/>
          <w:szCs w:val="19"/>
          <w:lang w:val="en-IN" w:eastAsia="en-IN"/>
        </w:rPr>
        <w:t>was used</w:t>
      </w:r>
      <w:proofErr w:type="gramEnd"/>
      <w:r w:rsidRPr="00E7271A">
        <w:rPr>
          <w:sz w:val="19"/>
          <w:szCs w:val="19"/>
          <w:lang w:val="en-IN" w:eastAsia="en-IN"/>
        </w:rPr>
        <w:t xml:space="preserve"> alone or in conjunction with doxorubicin in Breast cancer cells (MCF-</w:t>
      </w:r>
      <w:r>
        <w:rPr>
          <w:sz w:val="19"/>
          <w:szCs w:val="19"/>
          <w:lang w:val="en-IN" w:eastAsia="en-IN"/>
        </w:rPr>
        <w:t xml:space="preserve">7) </w:t>
      </w:r>
      <w:r w:rsidRPr="00E7271A">
        <w:rPr>
          <w:sz w:val="19"/>
          <w:szCs w:val="19"/>
          <w:lang w:val="en-IN" w:eastAsia="en-IN"/>
        </w:rPr>
        <w:t>revealing potential opportunities in the field of cancer treatment.</w:t>
      </w:r>
    </w:p>
    <w:p w:rsidR="001A52CE" w:rsidRPr="0005164C"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1A52CE" w:rsidRPr="0005164C" w:rsidRDefault="001A52CE" w:rsidP="001A52CE">
      <w:pPr>
        <w:rPr>
          <w:sz w:val="19"/>
          <w:szCs w:val="19"/>
        </w:rPr>
      </w:pPr>
    </w:p>
    <w:p w:rsidR="001A52CE" w:rsidRPr="00E7271A" w:rsidRDefault="00E7271A" w:rsidP="00E7271A">
      <w:pPr>
        <w:pStyle w:val="BodyText"/>
        <w:ind w:firstLine="0"/>
        <w:rPr>
          <w:b/>
          <w:bCs/>
          <w:sz w:val="19"/>
          <w:szCs w:val="19"/>
        </w:rPr>
      </w:pPr>
      <w:r w:rsidRPr="00E7271A">
        <w:rPr>
          <w:b/>
          <w:bCs/>
          <w:noProof/>
          <w:sz w:val="24"/>
          <w:szCs w:val="24"/>
        </w:rPr>
        <w:drawing>
          <wp:anchor distT="0" distB="0" distL="114300" distR="114300" simplePos="0" relativeHeight="251654656" behindDoc="1" locked="0" layoutInCell="1" allowOverlap="1" wp14:anchorId="7C40B0A0" wp14:editId="58C4E216">
            <wp:simplePos x="0" y="0"/>
            <wp:positionH relativeFrom="margin">
              <wp:posOffset>-69550</wp:posOffset>
            </wp:positionH>
            <wp:positionV relativeFrom="paragraph">
              <wp:posOffset>374504</wp:posOffset>
            </wp:positionV>
            <wp:extent cx="3104515" cy="971550"/>
            <wp:effectExtent l="0" t="0" r="635" b="0"/>
            <wp:wrapTight wrapText="bothSides">
              <wp:wrapPolygon edited="0">
                <wp:start x="0" y="0"/>
                <wp:lineTo x="0" y="21176"/>
                <wp:lineTo x="21472" y="21176"/>
                <wp:lineTo x="2147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451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19"/>
          <w:szCs w:val="19"/>
        </w:rPr>
        <w:t xml:space="preserve">Image </w:t>
      </w:r>
      <w:r w:rsidRPr="00E7271A">
        <w:rPr>
          <w:b/>
          <w:bCs/>
          <w:sz w:val="19"/>
          <w:szCs w:val="19"/>
        </w:rPr>
        <w:t>1</w:t>
      </w:r>
      <w:r>
        <w:rPr>
          <w:b/>
          <w:bCs/>
          <w:sz w:val="19"/>
          <w:szCs w:val="19"/>
        </w:rPr>
        <w:t>:</w:t>
      </w:r>
      <w:r w:rsidRPr="00E7271A">
        <w:rPr>
          <w:b/>
          <w:bCs/>
          <w:sz w:val="19"/>
          <w:szCs w:val="19"/>
        </w:rPr>
        <w:t xml:space="preserve"> Morphological changes in breast cancer cells (MCF-7) after a 24-hour treatment with Black seed oil (BSO).</w:t>
      </w:r>
    </w:p>
    <w:p w:rsidR="001A52CE" w:rsidRDefault="001A52CE" w:rsidP="001A52CE">
      <w:pPr>
        <w:pStyle w:val="BodyText"/>
        <w:jc w:val="left"/>
        <w:rPr>
          <w:sz w:val="19"/>
          <w:szCs w:val="19"/>
        </w:rPr>
      </w:pPr>
    </w:p>
    <w:p w:rsidR="0046009A" w:rsidRDefault="0046009A" w:rsidP="00E7271A">
      <w:pPr>
        <w:pStyle w:val="BodyText"/>
        <w:ind w:firstLine="0"/>
        <w:jc w:val="left"/>
        <w:rPr>
          <w:b/>
          <w:bCs/>
          <w:sz w:val="19"/>
          <w:szCs w:val="19"/>
        </w:rPr>
      </w:pPr>
    </w:p>
    <w:p w:rsidR="0046009A" w:rsidRDefault="0046009A" w:rsidP="00E7271A">
      <w:pPr>
        <w:pStyle w:val="BodyText"/>
        <w:ind w:firstLine="0"/>
        <w:jc w:val="left"/>
        <w:rPr>
          <w:b/>
          <w:bCs/>
          <w:sz w:val="19"/>
          <w:szCs w:val="19"/>
        </w:rPr>
      </w:pPr>
    </w:p>
    <w:p w:rsidR="00E7271A" w:rsidRPr="00E7271A" w:rsidRDefault="00E7271A" w:rsidP="00E7271A">
      <w:pPr>
        <w:pStyle w:val="BodyText"/>
        <w:ind w:firstLine="0"/>
        <w:jc w:val="left"/>
        <w:rPr>
          <w:b/>
          <w:bCs/>
          <w:sz w:val="19"/>
          <w:szCs w:val="19"/>
        </w:rPr>
      </w:pPr>
      <w:r w:rsidRPr="00E7271A">
        <w:rPr>
          <w:b/>
          <w:bCs/>
          <w:sz w:val="19"/>
          <w:szCs w:val="19"/>
        </w:rPr>
        <w:lastRenderedPageBreak/>
        <w:t xml:space="preserve">Image 6: MCF-7 </w:t>
      </w:r>
      <w:r w:rsidR="0046009A" w:rsidRPr="00E7271A">
        <w:rPr>
          <w:b/>
          <w:bCs/>
          <w:sz w:val="19"/>
          <w:szCs w:val="19"/>
        </w:rPr>
        <w:t>tumor</w:t>
      </w:r>
      <w:r w:rsidRPr="00E7271A">
        <w:rPr>
          <w:b/>
          <w:bCs/>
          <w:sz w:val="19"/>
          <w:szCs w:val="19"/>
        </w:rPr>
        <w:t xml:space="preserve"> cells </w:t>
      </w:r>
      <w:proofErr w:type="gramStart"/>
      <w:r w:rsidRPr="00E7271A">
        <w:rPr>
          <w:b/>
          <w:bCs/>
          <w:sz w:val="19"/>
          <w:szCs w:val="19"/>
        </w:rPr>
        <w:t>were treated</w:t>
      </w:r>
      <w:proofErr w:type="gramEnd"/>
      <w:r w:rsidRPr="00E7271A">
        <w:rPr>
          <w:b/>
          <w:bCs/>
          <w:sz w:val="19"/>
          <w:szCs w:val="19"/>
        </w:rPr>
        <w:t xml:space="preserve"> for 24 hours with 50 g/ml doses of black seed oil of N. sativa (BSO).</w:t>
      </w:r>
    </w:p>
    <w:p w:rsidR="00E7271A" w:rsidRPr="0005164C" w:rsidRDefault="00E7271A" w:rsidP="001A52CE">
      <w:pPr>
        <w:pStyle w:val="BodyText"/>
        <w:jc w:val="left"/>
        <w:rPr>
          <w:sz w:val="19"/>
          <w:szCs w:val="19"/>
        </w:rPr>
      </w:pPr>
      <w:r w:rsidRPr="00430873">
        <w:rPr>
          <w:noProof/>
          <w:sz w:val="24"/>
          <w:szCs w:val="24"/>
        </w:rPr>
        <w:drawing>
          <wp:anchor distT="0" distB="0" distL="114300" distR="114300" simplePos="0" relativeHeight="251662848" behindDoc="1" locked="0" layoutInCell="1" allowOverlap="1" wp14:anchorId="1422387E" wp14:editId="7FDDECB9">
            <wp:simplePos x="0" y="0"/>
            <wp:positionH relativeFrom="column">
              <wp:posOffset>686435</wp:posOffset>
            </wp:positionH>
            <wp:positionV relativeFrom="paragraph">
              <wp:posOffset>50800</wp:posOffset>
            </wp:positionV>
            <wp:extent cx="1724660" cy="1838325"/>
            <wp:effectExtent l="0" t="0" r="8890" b="9525"/>
            <wp:wrapTight wrapText="bothSides">
              <wp:wrapPolygon edited="0">
                <wp:start x="0" y="0"/>
                <wp:lineTo x="0" y="21488"/>
                <wp:lineTo x="21473" y="21488"/>
                <wp:lineTo x="2147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24660"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52CE" w:rsidRPr="0005164C" w:rsidRDefault="001A52CE" w:rsidP="001A52CE">
      <w:pPr>
        <w:pStyle w:val="BodyText"/>
        <w:numPr>
          <w:ilvl w:val="0"/>
          <w:numId w:val="2"/>
        </w:numPr>
        <w:jc w:val="left"/>
        <w:rPr>
          <w:b/>
          <w:sz w:val="19"/>
          <w:szCs w:val="19"/>
        </w:rPr>
      </w:pPr>
      <w:r w:rsidRPr="0005164C">
        <w:rPr>
          <w:b/>
          <w:sz w:val="19"/>
          <w:szCs w:val="19"/>
        </w:rPr>
        <w:t>Reference:</w:t>
      </w:r>
    </w:p>
    <w:p w:rsidR="009F1618" w:rsidRDefault="009F1618" w:rsidP="009F1618">
      <w:pPr>
        <w:numPr>
          <w:ilvl w:val="0"/>
          <w:numId w:val="3"/>
        </w:numPr>
        <w:shd w:val="clear" w:color="auto" w:fill="FFFFFF"/>
        <w:spacing w:before="100" w:beforeAutospacing="1" w:after="120"/>
        <w:jc w:val="left"/>
        <w:rPr>
          <w:sz w:val="19"/>
          <w:szCs w:val="19"/>
          <w:lang w:val="en-IN" w:eastAsia="en-IN"/>
        </w:rPr>
      </w:pPr>
      <w:bookmarkStart w:id="2" w:name="2"/>
      <w:bookmarkEnd w:id="2"/>
      <w:proofErr w:type="spellStart"/>
      <w:r w:rsidRPr="009F1618">
        <w:rPr>
          <w:sz w:val="19"/>
          <w:szCs w:val="19"/>
          <w:lang w:val="en-IN" w:eastAsia="en-IN"/>
        </w:rPr>
        <w:t>Tavakkoli</w:t>
      </w:r>
      <w:proofErr w:type="spellEnd"/>
      <w:r w:rsidRPr="009F1618">
        <w:rPr>
          <w:sz w:val="19"/>
          <w:szCs w:val="19"/>
          <w:lang w:val="en-IN" w:eastAsia="en-IN"/>
        </w:rPr>
        <w:t xml:space="preserve"> A, </w:t>
      </w:r>
      <w:proofErr w:type="spellStart"/>
      <w:r w:rsidRPr="009F1618">
        <w:rPr>
          <w:sz w:val="19"/>
          <w:szCs w:val="19"/>
          <w:lang w:val="en-IN" w:eastAsia="en-IN"/>
        </w:rPr>
        <w:t>Mahdian</w:t>
      </w:r>
      <w:proofErr w:type="spellEnd"/>
      <w:r w:rsidRPr="009F1618">
        <w:rPr>
          <w:sz w:val="19"/>
          <w:szCs w:val="19"/>
          <w:lang w:val="en-IN" w:eastAsia="en-IN"/>
        </w:rPr>
        <w:t xml:space="preserve"> V, </w:t>
      </w:r>
      <w:proofErr w:type="spellStart"/>
      <w:r w:rsidRPr="009F1618">
        <w:rPr>
          <w:sz w:val="19"/>
          <w:szCs w:val="19"/>
          <w:lang w:val="en-IN" w:eastAsia="en-IN"/>
        </w:rPr>
        <w:t>Razavi</w:t>
      </w:r>
      <w:proofErr w:type="spellEnd"/>
      <w:r w:rsidRPr="009F1618">
        <w:rPr>
          <w:sz w:val="19"/>
          <w:szCs w:val="19"/>
          <w:lang w:val="en-IN" w:eastAsia="en-IN"/>
        </w:rPr>
        <w:t xml:space="preserve"> BM, </w:t>
      </w:r>
      <w:proofErr w:type="spellStart"/>
      <w:r w:rsidRPr="009F1618">
        <w:rPr>
          <w:sz w:val="19"/>
          <w:szCs w:val="19"/>
          <w:lang w:val="en-IN" w:eastAsia="en-IN"/>
        </w:rPr>
        <w:t>Hosseinzadeh</w:t>
      </w:r>
      <w:proofErr w:type="spellEnd"/>
      <w:r w:rsidRPr="009F1618">
        <w:rPr>
          <w:sz w:val="19"/>
          <w:szCs w:val="19"/>
          <w:lang w:val="en-IN" w:eastAsia="en-IN"/>
        </w:rPr>
        <w:t xml:space="preserve"> H. Review on clinical trials of black seed (Nigella sativa) and its active constituent, thymoquinone. Journal of </w:t>
      </w:r>
      <w:proofErr w:type="spellStart"/>
      <w:r w:rsidRPr="009F1618">
        <w:rPr>
          <w:sz w:val="19"/>
          <w:szCs w:val="19"/>
          <w:lang w:val="en-IN" w:eastAsia="en-IN"/>
        </w:rPr>
        <w:t>pharmacopuncture</w:t>
      </w:r>
      <w:proofErr w:type="spellEnd"/>
      <w:r w:rsidRPr="009F1618">
        <w:rPr>
          <w:sz w:val="19"/>
          <w:szCs w:val="19"/>
          <w:lang w:val="en-IN" w:eastAsia="en-IN"/>
        </w:rPr>
        <w:t>. 2017 Sep</w:t>
      </w:r>
      <w:proofErr w:type="gramStart"/>
      <w:r w:rsidRPr="009F1618">
        <w:rPr>
          <w:sz w:val="19"/>
          <w:szCs w:val="19"/>
          <w:lang w:val="en-IN" w:eastAsia="en-IN"/>
        </w:rPr>
        <w:t>;20</w:t>
      </w:r>
      <w:proofErr w:type="gramEnd"/>
      <w:r w:rsidRPr="009F1618">
        <w:rPr>
          <w:sz w:val="19"/>
          <w:szCs w:val="19"/>
          <w:lang w:val="en-IN" w:eastAsia="en-IN"/>
        </w:rPr>
        <w:t>(3):179.</w:t>
      </w:r>
    </w:p>
    <w:p w:rsidR="001A52CE" w:rsidRDefault="009F1618" w:rsidP="0028060D">
      <w:pPr>
        <w:numPr>
          <w:ilvl w:val="0"/>
          <w:numId w:val="1"/>
        </w:numPr>
        <w:shd w:val="clear" w:color="auto" w:fill="FFFFFF"/>
        <w:spacing w:before="100" w:beforeAutospacing="1" w:after="120"/>
        <w:jc w:val="left"/>
        <w:rPr>
          <w:sz w:val="19"/>
          <w:szCs w:val="19"/>
          <w:lang w:val="en-IN" w:eastAsia="en-IN"/>
        </w:rPr>
      </w:pPr>
      <w:r w:rsidRPr="009F1618">
        <w:rPr>
          <w:sz w:val="19"/>
          <w:szCs w:val="19"/>
          <w:lang w:val="en-IN" w:eastAsia="en-IN"/>
        </w:rPr>
        <w:t xml:space="preserve">Liu W, Chen W, Zhang X, Zhao P, Fan Z, Bi L, et al. Higher efficacy and reduced adverse reactions in </w:t>
      </w:r>
      <w:proofErr w:type="spellStart"/>
      <w:r w:rsidRPr="009F1618">
        <w:rPr>
          <w:sz w:val="19"/>
          <w:szCs w:val="19"/>
          <w:lang w:val="en-IN" w:eastAsia="en-IN"/>
        </w:rPr>
        <w:t>neoadjuvant</w:t>
      </w:r>
      <w:proofErr w:type="spellEnd"/>
      <w:r w:rsidRPr="009F1618">
        <w:rPr>
          <w:sz w:val="19"/>
          <w:szCs w:val="19"/>
          <w:lang w:val="en-IN" w:eastAsia="en-IN"/>
        </w:rPr>
        <w:t xml:space="preserve"> chemotherapy for breast cancer by using </w:t>
      </w:r>
      <w:proofErr w:type="spellStart"/>
      <w:r w:rsidRPr="009F1618">
        <w:rPr>
          <w:sz w:val="19"/>
          <w:szCs w:val="19"/>
          <w:lang w:val="en-IN" w:eastAsia="en-IN"/>
        </w:rPr>
        <w:t>pegylated</w:t>
      </w:r>
      <w:r w:rsidR="0028060D" w:rsidRPr="0028060D">
        <w:rPr>
          <w:sz w:val="19"/>
          <w:szCs w:val="19"/>
          <w:lang w:val="en-IN" w:eastAsia="en-IN"/>
        </w:rPr>
        <w:t>iposomal</w:t>
      </w:r>
      <w:proofErr w:type="spellEnd"/>
      <w:r w:rsidR="0028060D" w:rsidRPr="0028060D">
        <w:rPr>
          <w:sz w:val="19"/>
          <w:szCs w:val="19"/>
          <w:lang w:val="en-IN" w:eastAsia="en-IN"/>
        </w:rPr>
        <w:t xml:space="preserve"> doxorubicin compared with </w:t>
      </w:r>
      <w:proofErr w:type="spellStart"/>
      <w:r w:rsidR="0028060D" w:rsidRPr="0028060D">
        <w:rPr>
          <w:sz w:val="19"/>
          <w:szCs w:val="19"/>
          <w:lang w:val="en-IN" w:eastAsia="en-IN"/>
        </w:rPr>
        <w:t>pirarubicin</w:t>
      </w:r>
      <w:proofErr w:type="spellEnd"/>
      <w:r w:rsidR="0028060D" w:rsidRPr="0028060D">
        <w:rPr>
          <w:sz w:val="19"/>
          <w:szCs w:val="19"/>
          <w:lang w:val="en-IN" w:eastAsia="en-IN"/>
        </w:rPr>
        <w:t>. Scientific Reports. 2021 Jan 8</w:t>
      </w:r>
      <w:proofErr w:type="gramStart"/>
      <w:r w:rsidR="0028060D" w:rsidRPr="0028060D">
        <w:rPr>
          <w:sz w:val="19"/>
          <w:szCs w:val="19"/>
          <w:lang w:val="en-IN" w:eastAsia="en-IN"/>
        </w:rPr>
        <w:t>;11</w:t>
      </w:r>
      <w:proofErr w:type="gramEnd"/>
      <w:r w:rsidR="0028060D" w:rsidRPr="0028060D">
        <w:rPr>
          <w:sz w:val="19"/>
          <w:szCs w:val="19"/>
          <w:lang w:val="en-IN" w:eastAsia="en-IN"/>
        </w:rPr>
        <w:t>(1):1-9.</w:t>
      </w:r>
    </w:p>
    <w:p w:rsidR="001A52CE" w:rsidRPr="0005164C" w:rsidRDefault="001A52CE" w:rsidP="001A52CE">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28060D" w:rsidRDefault="00834F3F" w:rsidP="0028060D">
      <w:pPr>
        <w:jc w:val="lowKashida"/>
        <w:rPr>
          <w:sz w:val="19"/>
          <w:szCs w:val="19"/>
        </w:rPr>
      </w:pPr>
      <w:r>
        <w:rPr>
          <w:sz w:val="19"/>
          <w:szCs w:val="19"/>
        </w:rPr>
        <w:t xml:space="preserve">Waheed Ahmad Baig </w:t>
      </w:r>
      <w:r w:rsidRPr="0005164C">
        <w:rPr>
          <w:sz w:val="19"/>
          <w:szCs w:val="19"/>
        </w:rPr>
        <w:t>has</w:t>
      </w:r>
      <w:r w:rsidR="001A52CE" w:rsidRPr="0005164C">
        <w:rPr>
          <w:sz w:val="19"/>
          <w:szCs w:val="19"/>
        </w:rPr>
        <w:t xml:space="preserve"> completed his </w:t>
      </w:r>
      <w:r>
        <w:rPr>
          <w:sz w:val="19"/>
          <w:szCs w:val="19"/>
        </w:rPr>
        <w:t>Master in 2000</w:t>
      </w:r>
      <w:r w:rsidR="001A52CE" w:rsidRPr="0005164C">
        <w:rPr>
          <w:sz w:val="19"/>
          <w:szCs w:val="19"/>
        </w:rPr>
        <w:t xml:space="preserve"> from </w:t>
      </w:r>
      <w:r>
        <w:rPr>
          <w:sz w:val="19"/>
          <w:szCs w:val="19"/>
        </w:rPr>
        <w:t xml:space="preserve">Punjab </w:t>
      </w:r>
      <w:r w:rsidR="001A52CE" w:rsidRPr="0005164C">
        <w:rPr>
          <w:sz w:val="19"/>
          <w:szCs w:val="19"/>
        </w:rPr>
        <w:t xml:space="preserve">University and </w:t>
      </w:r>
      <w:r>
        <w:rPr>
          <w:sz w:val="19"/>
          <w:szCs w:val="19"/>
        </w:rPr>
        <w:t xml:space="preserve">M.Phil. </w:t>
      </w:r>
      <w:proofErr w:type="gramStart"/>
      <w:r w:rsidR="0028060D">
        <w:rPr>
          <w:sz w:val="19"/>
          <w:szCs w:val="19"/>
        </w:rPr>
        <w:t>in</w:t>
      </w:r>
      <w:proofErr w:type="gramEnd"/>
      <w:r w:rsidR="0028060D">
        <w:rPr>
          <w:sz w:val="19"/>
          <w:szCs w:val="19"/>
        </w:rPr>
        <w:t xml:space="preserve"> 2005 </w:t>
      </w:r>
      <w:r>
        <w:rPr>
          <w:sz w:val="19"/>
          <w:szCs w:val="19"/>
        </w:rPr>
        <w:t>from</w:t>
      </w:r>
      <w:r w:rsidR="001A52CE">
        <w:rPr>
          <w:sz w:val="19"/>
          <w:szCs w:val="19"/>
        </w:rPr>
        <w:t xml:space="preserve"> </w:t>
      </w:r>
      <w:r>
        <w:rPr>
          <w:sz w:val="19"/>
          <w:szCs w:val="19"/>
        </w:rPr>
        <w:t>GC</w:t>
      </w:r>
      <w:r w:rsidR="001A52CE" w:rsidRPr="0005164C">
        <w:rPr>
          <w:sz w:val="19"/>
          <w:szCs w:val="19"/>
        </w:rPr>
        <w:t xml:space="preserve"> University</w:t>
      </w:r>
      <w:r w:rsidR="001A52CE">
        <w:rPr>
          <w:sz w:val="19"/>
          <w:szCs w:val="19"/>
        </w:rPr>
        <w:t xml:space="preserve">, </w:t>
      </w:r>
      <w:r>
        <w:rPr>
          <w:sz w:val="19"/>
          <w:szCs w:val="19"/>
        </w:rPr>
        <w:t>Lahore, Pakistan</w:t>
      </w:r>
      <w:r w:rsidR="001A52CE" w:rsidRPr="0005164C">
        <w:rPr>
          <w:sz w:val="19"/>
          <w:szCs w:val="19"/>
        </w:rPr>
        <w:t>.</w:t>
      </w:r>
      <w:r w:rsidR="0028060D">
        <w:rPr>
          <w:sz w:val="19"/>
          <w:szCs w:val="19"/>
        </w:rPr>
        <w:t xml:space="preserve"> He </w:t>
      </w:r>
      <w:r w:rsidR="0028060D" w:rsidRPr="0028060D">
        <w:rPr>
          <w:sz w:val="19"/>
          <w:szCs w:val="19"/>
        </w:rPr>
        <w:t xml:space="preserve">is presently serving as researcher in Prince Sultan Military College of Health Sciences </w:t>
      </w:r>
      <w:r w:rsidR="0028060D">
        <w:rPr>
          <w:sz w:val="19"/>
          <w:szCs w:val="19"/>
        </w:rPr>
        <w:t>a</w:t>
      </w:r>
      <w:r w:rsidR="0028060D" w:rsidRPr="0028060D">
        <w:rPr>
          <w:sz w:val="19"/>
          <w:szCs w:val="19"/>
        </w:rPr>
        <w:t>t Dhahran Saudi Arabia</w:t>
      </w:r>
      <w:r w:rsidR="0028060D">
        <w:rPr>
          <w:sz w:val="19"/>
          <w:szCs w:val="19"/>
        </w:rPr>
        <w:t xml:space="preserve"> </w:t>
      </w:r>
      <w:r w:rsidR="0028060D" w:rsidRPr="0028060D">
        <w:rPr>
          <w:sz w:val="19"/>
          <w:szCs w:val="19"/>
        </w:rPr>
        <w:t xml:space="preserve">He has vast experience of research and teaching under-graduate and post- graduate students. He has published several papers in reputed journal and supervise student research project. His technical skills include Cell Culture, Flow </w:t>
      </w:r>
      <w:proofErr w:type="spellStart"/>
      <w:r w:rsidR="0028060D" w:rsidRPr="0028060D">
        <w:rPr>
          <w:sz w:val="19"/>
          <w:szCs w:val="19"/>
        </w:rPr>
        <w:t>Cytometry</w:t>
      </w:r>
      <w:proofErr w:type="spellEnd"/>
      <w:r w:rsidR="0028060D" w:rsidRPr="0028060D">
        <w:rPr>
          <w:sz w:val="19"/>
          <w:szCs w:val="19"/>
        </w:rPr>
        <w:t>, Immunohistochemistry, PCR, Cancer Biology, Immunofluorescence, Western Blot Analysis and Gel Electrophoresis.</w:t>
      </w:r>
      <w:r w:rsidR="001A52CE" w:rsidRPr="0005164C">
        <w:rPr>
          <w:sz w:val="19"/>
          <w:szCs w:val="19"/>
        </w:rPr>
        <w:t xml:space="preserve"> </w:t>
      </w:r>
    </w:p>
    <w:p w:rsidR="0028060D" w:rsidRDefault="0028060D" w:rsidP="0028060D">
      <w:pPr>
        <w:jc w:val="both"/>
        <w:rPr>
          <w:sz w:val="19"/>
          <w:szCs w:val="19"/>
        </w:rPr>
      </w:pPr>
    </w:p>
    <w:p w:rsidR="001A52CE" w:rsidRPr="0005164C" w:rsidRDefault="001A52CE" w:rsidP="0028060D">
      <w:pPr>
        <w:jc w:val="both"/>
        <w:rPr>
          <w:b/>
          <w:sz w:val="19"/>
          <w:szCs w:val="19"/>
          <w:lang w:val="en-NZ"/>
        </w:rPr>
      </w:pPr>
      <w:r w:rsidRPr="0005164C">
        <w:rPr>
          <w:b/>
          <w:sz w:val="19"/>
          <w:szCs w:val="19"/>
          <w:lang w:val="en-NZ"/>
        </w:rPr>
        <w:t xml:space="preserve">Presenting author details </w:t>
      </w:r>
    </w:p>
    <w:p w:rsidR="001A52CE" w:rsidRPr="0005164C" w:rsidRDefault="00877DD5" w:rsidP="001A52CE">
      <w:pPr>
        <w:autoSpaceDE w:val="0"/>
        <w:autoSpaceDN w:val="0"/>
        <w:adjustRightInd w:val="0"/>
        <w:jc w:val="left"/>
        <w:rPr>
          <w:sz w:val="19"/>
          <w:szCs w:val="19"/>
          <w:lang w:val="en-NZ"/>
        </w:rPr>
      </w:pPr>
      <w:r w:rsidRPr="00877DD5">
        <w:rPr>
          <w:sz w:val="19"/>
          <w:szCs w:val="19"/>
        </w:rPr>
        <w:drawing>
          <wp:anchor distT="0" distB="0" distL="114300" distR="114300" simplePos="0" relativeHeight="251680256" behindDoc="1" locked="0" layoutInCell="1" allowOverlap="1" wp14:anchorId="281E42BD" wp14:editId="2BF3114C">
            <wp:simplePos x="0" y="0"/>
            <wp:positionH relativeFrom="column">
              <wp:posOffset>2264410</wp:posOffset>
            </wp:positionH>
            <wp:positionV relativeFrom="paragraph">
              <wp:posOffset>60960</wp:posOffset>
            </wp:positionV>
            <wp:extent cx="965200" cy="1008380"/>
            <wp:effectExtent l="152400" t="57150" r="101600" b="782320"/>
            <wp:wrapTight wrapText="bothSides">
              <wp:wrapPolygon edited="0">
                <wp:start x="6821" y="-1224"/>
                <wp:lineTo x="-426" y="-408"/>
                <wp:lineTo x="-1705" y="12650"/>
                <wp:lineTo x="-1279" y="25708"/>
                <wp:lineTo x="-3411" y="25708"/>
                <wp:lineTo x="-2984" y="36317"/>
                <wp:lineTo x="4263" y="37950"/>
                <wp:lineTo x="16626" y="37950"/>
                <wp:lineTo x="17053" y="37134"/>
                <wp:lineTo x="23447" y="32645"/>
                <wp:lineTo x="23447" y="32237"/>
                <wp:lineTo x="22595" y="26116"/>
                <wp:lineTo x="22595" y="25708"/>
                <wp:lineTo x="18758" y="19179"/>
                <wp:lineTo x="22168" y="12650"/>
                <wp:lineTo x="21316" y="6529"/>
                <wp:lineTo x="21316" y="6121"/>
                <wp:lineTo x="14068" y="0"/>
                <wp:lineTo x="13642" y="-1224"/>
                <wp:lineTo x="6821" y="-1224"/>
              </wp:wrapPolygon>
            </wp:wrapTight>
            <wp:docPr id="7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 name="Picture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5200" cy="1008380"/>
                    </a:xfrm>
                    <a:prstGeom prst="ellipse">
                      <a:avLst/>
                    </a:prstGeom>
                    <a:ln w="127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pic:spPr>
                </pic:pic>
              </a:graphicData>
            </a:graphic>
            <wp14:sizeRelH relativeFrom="page">
              <wp14:pctWidth>0</wp14:pctWidth>
            </wp14:sizeRelH>
            <wp14:sizeRelV relativeFrom="page">
              <wp14:pctHeight>0</wp14:pctHeight>
            </wp14:sizeRelV>
          </wp:anchor>
        </w:drawing>
      </w:r>
    </w:p>
    <w:p w:rsidR="001A52CE" w:rsidRPr="0005164C" w:rsidRDefault="001A52CE" w:rsidP="00877DD5">
      <w:pPr>
        <w:autoSpaceDE w:val="0"/>
        <w:autoSpaceDN w:val="0"/>
        <w:adjustRightInd w:val="0"/>
        <w:jc w:val="left"/>
        <w:rPr>
          <w:sz w:val="19"/>
          <w:szCs w:val="19"/>
          <w:lang w:val="en-NZ"/>
        </w:rPr>
      </w:pP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834F3F">
        <w:rPr>
          <w:sz w:val="19"/>
          <w:szCs w:val="19"/>
          <w:lang w:val="en-NZ"/>
        </w:rPr>
        <w:t xml:space="preserve"> Waheed Ahmad Baig</w:t>
      </w:r>
      <w:r w:rsidR="00834F3F">
        <w:rPr>
          <w:sz w:val="19"/>
          <w:szCs w:val="19"/>
          <w:lang w:val="en-NZ"/>
        </w:rPr>
        <w:tab/>
      </w:r>
    </w:p>
    <w:p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834F3F">
        <w:rPr>
          <w:sz w:val="19"/>
          <w:szCs w:val="19"/>
          <w:lang w:val="en-NZ"/>
        </w:rPr>
        <w:t xml:space="preserve"> 00966561674007</w:t>
      </w:r>
      <w:r w:rsidRPr="0005164C">
        <w:rPr>
          <w:sz w:val="19"/>
          <w:szCs w:val="19"/>
          <w:lang w:val="en-NZ"/>
        </w:rPr>
        <w:br/>
        <w:t>Twitter account:</w:t>
      </w:r>
      <w:r w:rsidR="00834F3F">
        <w:rPr>
          <w:sz w:val="19"/>
          <w:szCs w:val="19"/>
          <w:lang w:val="en-NZ"/>
        </w:rPr>
        <w:t xml:space="preserve"> </w:t>
      </w:r>
      <w:r w:rsidRPr="0005164C">
        <w:rPr>
          <w:sz w:val="19"/>
          <w:szCs w:val="19"/>
          <w:lang w:val="en-NZ"/>
        </w:rPr>
        <w:br/>
        <w:t>Linked In account:</w:t>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Session name/ number</w:t>
      </w:r>
      <w:proofErr w:type="gramStart"/>
      <w:r w:rsidR="00834F3F">
        <w:rPr>
          <w:sz w:val="19"/>
          <w:szCs w:val="19"/>
          <w:lang w:val="en-NZ"/>
        </w:rPr>
        <w:t>:</w:t>
      </w:r>
      <w:proofErr w:type="gramEnd"/>
      <w:r w:rsidR="00834F3F">
        <w:rPr>
          <w:sz w:val="19"/>
          <w:szCs w:val="19"/>
          <w:lang w:val="en-NZ"/>
        </w:rPr>
        <w:br/>
        <w:t xml:space="preserve">Category: </w:t>
      </w:r>
      <w:r w:rsidR="00834F3F">
        <w:rPr>
          <w:sz w:val="19"/>
          <w:szCs w:val="19"/>
          <w:lang w:val="en-NZ"/>
        </w:rPr>
        <w:tab/>
      </w:r>
      <w:r w:rsidRPr="0028060D">
        <w:rPr>
          <w:sz w:val="19"/>
          <w:szCs w:val="19"/>
          <w:lang w:val="en-NZ"/>
        </w:rPr>
        <w:t>Poster presentation</w:t>
      </w:r>
    </w:p>
    <w:p w:rsidR="001A52CE" w:rsidRPr="0005164C" w:rsidRDefault="001A52CE" w:rsidP="001A52CE">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834F3F">
        <w:rPr>
          <w:sz w:val="18"/>
          <w:szCs w:val="18"/>
          <w:lang w:val="en-IN"/>
        </w:rPr>
        <w:t xml:space="preserve"> AL3920484</w:t>
      </w:r>
    </w:p>
    <w:p w:rsidR="00803340" w:rsidRDefault="00863FB0">
      <w:bookmarkStart w:id="3" w:name="_GoBack"/>
      <w:bookmarkEnd w:id="3"/>
    </w:p>
    <w:sectPr w:rsidR="00803340" w:rsidSect="0046009A">
      <w:type w:val="continuous"/>
      <w:pgSz w:w="11909" w:h="16834" w:code="9"/>
      <w:pgMar w:top="1080" w:right="734" w:bottom="360"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CE"/>
    <w:rsid w:val="001A52CE"/>
    <w:rsid w:val="0028060D"/>
    <w:rsid w:val="0046009A"/>
    <w:rsid w:val="006334DB"/>
    <w:rsid w:val="00834F3F"/>
    <w:rsid w:val="00863FB0"/>
    <w:rsid w:val="00877DD5"/>
    <w:rsid w:val="00940AB7"/>
    <w:rsid w:val="009F1618"/>
    <w:rsid w:val="00AE372F"/>
    <w:rsid w:val="00B12CA8"/>
    <w:rsid w:val="00BD3ACD"/>
    <w:rsid w:val="00C626AB"/>
    <w:rsid w:val="00E7271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6E6694-A207-40D8-BFFF-5004523EC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image" Target="media/image3.jpeg"/><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Waheed Ahmad Baig</cp:lastModifiedBy>
  <cp:revision>7</cp:revision>
  <dcterms:created xsi:type="dcterms:W3CDTF">2020-06-10T06:54:00Z</dcterms:created>
  <dcterms:modified xsi:type="dcterms:W3CDTF">2021-12-22T10:05:00Z</dcterms:modified>
</cp:coreProperties>
</file>