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65BB" w:rsidRDefault="00DC65BB" w:rsidP="004004EB">
      <w:pPr>
        <w:spacing w:after="0"/>
        <w:jc w:val="center"/>
        <w:rPr>
          <w:rFonts w:ascii="Constantia" w:hAnsi="Constantia"/>
          <w:b/>
          <w:sz w:val="24"/>
          <w:szCs w:val="24"/>
        </w:rPr>
      </w:pPr>
      <w:r>
        <w:rPr>
          <w:rFonts w:ascii="Constantia" w:hAnsi="Constantia"/>
          <w:b/>
          <w:sz w:val="24"/>
          <w:szCs w:val="24"/>
        </w:rPr>
        <w:t xml:space="preserve">Cell Conference - </w:t>
      </w:r>
      <w:proofErr w:type="spellStart"/>
      <w:r>
        <w:rPr>
          <w:rFonts w:ascii="Constantia" w:hAnsi="Constantia"/>
          <w:b/>
          <w:sz w:val="24"/>
          <w:szCs w:val="24"/>
        </w:rPr>
        <w:t>Ketnote</w:t>
      </w:r>
      <w:proofErr w:type="spellEnd"/>
      <w:r>
        <w:rPr>
          <w:rFonts w:ascii="Constantia" w:hAnsi="Constantia"/>
          <w:b/>
          <w:sz w:val="24"/>
          <w:szCs w:val="24"/>
        </w:rPr>
        <w:t xml:space="preserve"> Session – Speaker’s Abstract</w:t>
      </w:r>
    </w:p>
    <w:p w:rsidR="004004EB" w:rsidRDefault="00F6696A" w:rsidP="004004EB">
      <w:pPr>
        <w:spacing w:after="0"/>
        <w:jc w:val="center"/>
        <w:rPr>
          <w:rFonts w:ascii="Constantia" w:hAnsi="Constantia"/>
          <w:b/>
          <w:sz w:val="24"/>
          <w:szCs w:val="24"/>
        </w:rPr>
      </w:pPr>
      <w:r w:rsidRPr="00844A13">
        <w:rPr>
          <w:rFonts w:ascii="Constantia" w:hAnsi="Constantia"/>
          <w:b/>
          <w:sz w:val="24"/>
          <w:szCs w:val="24"/>
        </w:rPr>
        <w:t xml:space="preserve">Early Cancer Screening and Prophylactic Immunotherapy </w:t>
      </w:r>
    </w:p>
    <w:p w:rsidR="00F6696A" w:rsidRDefault="00F6696A" w:rsidP="00104CDC">
      <w:pPr>
        <w:jc w:val="center"/>
        <w:rPr>
          <w:rFonts w:ascii="Constantia" w:hAnsi="Constantia"/>
          <w:b/>
          <w:sz w:val="24"/>
          <w:szCs w:val="24"/>
        </w:rPr>
      </w:pPr>
      <w:r w:rsidRPr="00844A13">
        <w:rPr>
          <w:rFonts w:ascii="Constantia" w:hAnsi="Constantia"/>
          <w:b/>
          <w:sz w:val="24"/>
          <w:szCs w:val="24"/>
        </w:rPr>
        <w:t>– A Stem Cell Approach</w:t>
      </w:r>
    </w:p>
    <w:p w:rsidR="001D4DC9" w:rsidRDefault="00104CDC" w:rsidP="001D4DC9">
      <w:pPr>
        <w:spacing w:after="0"/>
        <w:jc w:val="center"/>
        <w:rPr>
          <w:rFonts w:ascii="Constantia" w:hAnsi="Constantia"/>
          <w:b/>
          <w:sz w:val="24"/>
          <w:szCs w:val="24"/>
        </w:rPr>
      </w:pPr>
      <w:r>
        <w:rPr>
          <w:rFonts w:ascii="Constantia" w:hAnsi="Constantia"/>
          <w:b/>
          <w:sz w:val="24"/>
          <w:szCs w:val="24"/>
        </w:rPr>
        <w:t xml:space="preserve">Dr. </w:t>
      </w:r>
      <w:proofErr w:type="spellStart"/>
      <w:r>
        <w:rPr>
          <w:rFonts w:ascii="Constantia" w:hAnsi="Constantia"/>
          <w:b/>
          <w:sz w:val="24"/>
          <w:szCs w:val="24"/>
        </w:rPr>
        <w:t>Anand</w:t>
      </w:r>
      <w:proofErr w:type="spellEnd"/>
      <w:r>
        <w:rPr>
          <w:rFonts w:ascii="Constantia" w:hAnsi="Constantia"/>
          <w:b/>
          <w:sz w:val="24"/>
          <w:szCs w:val="24"/>
        </w:rPr>
        <w:t xml:space="preserve"> Kumar </w:t>
      </w:r>
      <w:proofErr w:type="spellStart"/>
      <w:r>
        <w:rPr>
          <w:rFonts w:ascii="Constantia" w:hAnsi="Constantia"/>
          <w:b/>
          <w:sz w:val="24"/>
          <w:szCs w:val="24"/>
        </w:rPr>
        <w:t>Arachimani</w:t>
      </w:r>
      <w:proofErr w:type="spellEnd"/>
      <w:r>
        <w:rPr>
          <w:rFonts w:ascii="Constantia" w:hAnsi="Constantia"/>
          <w:b/>
          <w:sz w:val="24"/>
          <w:szCs w:val="24"/>
        </w:rPr>
        <w:t xml:space="preserve"> </w:t>
      </w:r>
    </w:p>
    <w:p w:rsidR="00104CDC" w:rsidRPr="00844A13" w:rsidRDefault="001D4DC9" w:rsidP="001D4DC9">
      <w:pPr>
        <w:spacing w:after="0"/>
        <w:jc w:val="center"/>
        <w:rPr>
          <w:rFonts w:ascii="Constantia" w:hAnsi="Constantia"/>
          <w:b/>
          <w:sz w:val="24"/>
          <w:szCs w:val="24"/>
        </w:rPr>
      </w:pPr>
      <w:proofErr w:type="gramStart"/>
      <w:r>
        <w:rPr>
          <w:rFonts w:ascii="Constantia" w:hAnsi="Constantia"/>
          <w:b/>
          <w:sz w:val="24"/>
          <w:szCs w:val="24"/>
        </w:rPr>
        <w:t xml:space="preserve">Managing Director, </w:t>
      </w:r>
      <w:proofErr w:type="spellStart"/>
      <w:r w:rsidR="00104CDC">
        <w:rPr>
          <w:rFonts w:ascii="Constantia" w:hAnsi="Constantia"/>
          <w:b/>
          <w:sz w:val="24"/>
          <w:szCs w:val="24"/>
        </w:rPr>
        <w:t>AutoStem</w:t>
      </w:r>
      <w:proofErr w:type="spellEnd"/>
      <w:r w:rsidR="00104CDC">
        <w:rPr>
          <w:rFonts w:ascii="Constantia" w:hAnsi="Constantia"/>
          <w:b/>
          <w:sz w:val="24"/>
          <w:szCs w:val="24"/>
        </w:rPr>
        <w:t xml:space="preserve"> Laboratories</w:t>
      </w:r>
      <w:r w:rsidR="004004EB">
        <w:rPr>
          <w:rFonts w:ascii="Constantia" w:hAnsi="Constantia"/>
          <w:b/>
          <w:sz w:val="24"/>
          <w:szCs w:val="24"/>
        </w:rPr>
        <w:t>, Chennai.</w:t>
      </w:r>
      <w:proofErr w:type="gramEnd"/>
    </w:p>
    <w:p w:rsidR="001D4DC9" w:rsidRDefault="001D4DC9" w:rsidP="00844A13">
      <w:pPr>
        <w:autoSpaceDE w:val="0"/>
        <w:autoSpaceDN w:val="0"/>
        <w:adjustRightInd w:val="0"/>
        <w:spacing w:after="0" w:line="240" w:lineRule="auto"/>
        <w:jc w:val="both"/>
        <w:rPr>
          <w:rFonts w:ascii="Constantia" w:hAnsi="Constantia"/>
          <w:color w:val="000000" w:themeColor="text1"/>
          <w:sz w:val="24"/>
          <w:szCs w:val="24"/>
        </w:rPr>
      </w:pPr>
    </w:p>
    <w:p w:rsidR="009C519A" w:rsidRPr="00104CDC" w:rsidRDefault="009C519A" w:rsidP="00844A13">
      <w:pPr>
        <w:autoSpaceDE w:val="0"/>
        <w:autoSpaceDN w:val="0"/>
        <w:adjustRightInd w:val="0"/>
        <w:spacing w:after="0" w:line="240" w:lineRule="auto"/>
        <w:jc w:val="both"/>
        <w:rPr>
          <w:rFonts w:ascii="Constantia" w:hAnsi="Constantia"/>
          <w:color w:val="000000" w:themeColor="text1"/>
          <w:sz w:val="24"/>
          <w:szCs w:val="24"/>
        </w:rPr>
      </w:pPr>
      <w:r w:rsidRPr="00104CDC">
        <w:rPr>
          <w:rFonts w:ascii="Constantia" w:hAnsi="Constantia"/>
          <w:color w:val="000000" w:themeColor="text1"/>
          <w:sz w:val="24"/>
          <w:szCs w:val="24"/>
        </w:rPr>
        <w:t>“Prevention is better than Cure”. This is more so applicable to inheritable Cancers, where a likely event could be predicted with close statistical probabilities. This study is an attempt that uses advanced prophylactic treatment options to look into the reduction in the frequency or statistical probability of development of cancer in the high risk group of female individuals with family history of BRCA1/2 mutations.</w:t>
      </w:r>
    </w:p>
    <w:p w:rsidR="009C519A" w:rsidRPr="00104CDC" w:rsidRDefault="009C519A" w:rsidP="00844A13">
      <w:pPr>
        <w:autoSpaceDE w:val="0"/>
        <w:autoSpaceDN w:val="0"/>
        <w:adjustRightInd w:val="0"/>
        <w:spacing w:after="0" w:line="240" w:lineRule="auto"/>
        <w:jc w:val="both"/>
        <w:rPr>
          <w:rFonts w:ascii="Constantia" w:hAnsi="Constantia"/>
          <w:color w:val="000000" w:themeColor="text1"/>
          <w:sz w:val="24"/>
          <w:szCs w:val="24"/>
        </w:rPr>
      </w:pPr>
    </w:p>
    <w:p w:rsidR="00104CDC" w:rsidRPr="00104CDC" w:rsidRDefault="00104CDC" w:rsidP="00844A13">
      <w:pPr>
        <w:autoSpaceDE w:val="0"/>
        <w:autoSpaceDN w:val="0"/>
        <w:adjustRightInd w:val="0"/>
        <w:spacing w:after="0" w:line="240" w:lineRule="auto"/>
        <w:jc w:val="both"/>
        <w:rPr>
          <w:rFonts w:ascii="Constantia" w:hAnsi="Constantia" w:cs="Kalinga"/>
          <w:color w:val="000000" w:themeColor="text1"/>
          <w:sz w:val="24"/>
          <w:szCs w:val="24"/>
        </w:rPr>
      </w:pPr>
      <w:r w:rsidRPr="00104CDC">
        <w:rPr>
          <w:rFonts w:ascii="Constantia" w:hAnsi="Constantia" w:cs="Kalinga"/>
          <w:color w:val="000000" w:themeColor="text1"/>
          <w:sz w:val="24"/>
          <w:szCs w:val="24"/>
        </w:rPr>
        <w:t>Briefly, c</w:t>
      </w:r>
      <w:r w:rsidR="00844A13" w:rsidRPr="00104CDC">
        <w:rPr>
          <w:rFonts w:ascii="Constantia" w:hAnsi="Constantia" w:cs="Kalinga"/>
          <w:color w:val="000000" w:themeColor="text1"/>
          <w:sz w:val="24"/>
          <w:szCs w:val="24"/>
        </w:rPr>
        <w:t>ritical genetic insults and epigenetic alterations of somatic cell (</w:t>
      </w:r>
      <w:r w:rsidR="00A40BEE" w:rsidRPr="00104CDC">
        <w:rPr>
          <w:rFonts w:ascii="Constantia" w:hAnsi="Constantia" w:cs="Kalinga"/>
          <w:color w:val="000000" w:themeColor="text1"/>
          <w:sz w:val="24"/>
          <w:szCs w:val="24"/>
        </w:rPr>
        <w:t>or</w:t>
      </w:r>
      <w:r w:rsidR="00844A13" w:rsidRPr="00104CDC">
        <w:rPr>
          <w:rFonts w:ascii="Constantia" w:hAnsi="Constantia" w:cs="Kalinga"/>
          <w:color w:val="000000" w:themeColor="text1"/>
          <w:sz w:val="24"/>
          <w:szCs w:val="24"/>
        </w:rPr>
        <w:t xml:space="preserve"> </w:t>
      </w:r>
      <w:r w:rsidR="00A40BEE" w:rsidRPr="00104CDC">
        <w:rPr>
          <w:rFonts w:ascii="Constantia" w:hAnsi="Constantia" w:cs="Kalinga"/>
          <w:color w:val="000000" w:themeColor="text1"/>
          <w:sz w:val="24"/>
          <w:szCs w:val="24"/>
        </w:rPr>
        <w:t>stem /</w:t>
      </w:r>
      <w:r w:rsidRPr="00104CDC">
        <w:rPr>
          <w:rFonts w:ascii="Constantia" w:hAnsi="Constantia" w:cs="Kalinga"/>
          <w:color w:val="000000" w:themeColor="text1"/>
          <w:sz w:val="24"/>
          <w:szCs w:val="24"/>
        </w:rPr>
        <w:t xml:space="preserve"> progenitor cell</w:t>
      </w:r>
      <w:r w:rsidR="00844A13" w:rsidRPr="00104CDC">
        <w:rPr>
          <w:rFonts w:ascii="Constantia" w:hAnsi="Constantia" w:cs="Kalinga"/>
          <w:color w:val="000000" w:themeColor="text1"/>
          <w:sz w:val="24"/>
          <w:szCs w:val="24"/>
        </w:rPr>
        <w:t xml:space="preserve">) create primordial </w:t>
      </w:r>
      <w:proofErr w:type="spellStart"/>
      <w:r w:rsidR="00844A13" w:rsidRPr="00104CDC">
        <w:rPr>
          <w:rFonts w:ascii="Constantia" w:hAnsi="Constantia" w:cs="Kalinga"/>
          <w:color w:val="000000" w:themeColor="text1"/>
          <w:sz w:val="24"/>
          <w:szCs w:val="24"/>
        </w:rPr>
        <w:t>Tumor</w:t>
      </w:r>
      <w:proofErr w:type="spellEnd"/>
      <w:r w:rsidR="00844A13" w:rsidRPr="00104CDC">
        <w:rPr>
          <w:rFonts w:ascii="Constantia" w:hAnsi="Constantia" w:cs="Kalinga"/>
          <w:color w:val="000000" w:themeColor="text1"/>
          <w:sz w:val="24"/>
          <w:szCs w:val="24"/>
        </w:rPr>
        <w:t xml:space="preserve">-initiating cell (TIC) with stem-cell like properties that in due course accumulate progressive genetic lesions that confers a growth and/or survival advantage over its normal counterparts, </w:t>
      </w:r>
      <w:r w:rsidRPr="00104CDC">
        <w:rPr>
          <w:rFonts w:ascii="Constantia" w:hAnsi="Constantia" w:cs="Kalinga"/>
          <w:color w:val="000000" w:themeColor="text1"/>
          <w:sz w:val="24"/>
          <w:szCs w:val="24"/>
        </w:rPr>
        <w:t xml:space="preserve">eventually </w:t>
      </w:r>
      <w:r w:rsidR="00844A13" w:rsidRPr="00104CDC">
        <w:rPr>
          <w:rFonts w:ascii="Constantia" w:hAnsi="Constantia" w:cs="Kalinga"/>
          <w:color w:val="000000" w:themeColor="text1"/>
          <w:sz w:val="24"/>
          <w:szCs w:val="24"/>
        </w:rPr>
        <w:t xml:space="preserve">developing into a full blown cancer. A cancer-initiating cell must survive long enough to accumulate three to seven genetic mutations necessary to generate cancer. Most terminally differentiated cells, even if they encounter mutations, are neither long-lived nor possess the ability to produce </w:t>
      </w:r>
      <w:proofErr w:type="spellStart"/>
      <w:r w:rsidR="00844A13" w:rsidRPr="00104CDC">
        <w:rPr>
          <w:rFonts w:ascii="Constantia" w:hAnsi="Constantia" w:cs="Kalinga"/>
          <w:color w:val="000000" w:themeColor="text1"/>
          <w:sz w:val="24"/>
          <w:szCs w:val="24"/>
        </w:rPr>
        <w:t>tumors</w:t>
      </w:r>
      <w:proofErr w:type="spellEnd"/>
      <w:r w:rsidR="00844A13" w:rsidRPr="00104CDC">
        <w:rPr>
          <w:rFonts w:ascii="Constantia" w:hAnsi="Constantia" w:cs="Kalinga"/>
          <w:color w:val="000000" w:themeColor="text1"/>
          <w:sz w:val="24"/>
          <w:szCs w:val="24"/>
        </w:rPr>
        <w:t xml:space="preserve"> with the limited number of divisions remaining in their differentiation program. In contrast, acquisition of longevity and extensive proliferative capacity of a somatic cell or a stem cell precursor make it an ideal candidate for cancer-initiating cell.</w:t>
      </w:r>
      <w:r w:rsidRPr="00104CDC">
        <w:rPr>
          <w:rFonts w:ascii="Constantia" w:hAnsi="Constantia" w:cs="Kalinga"/>
          <w:color w:val="000000" w:themeColor="text1"/>
          <w:sz w:val="24"/>
          <w:szCs w:val="24"/>
        </w:rPr>
        <w:t xml:space="preserve"> </w:t>
      </w:r>
    </w:p>
    <w:p w:rsidR="00104CDC" w:rsidRPr="00104CDC" w:rsidRDefault="00104CDC" w:rsidP="00844A13">
      <w:pPr>
        <w:autoSpaceDE w:val="0"/>
        <w:autoSpaceDN w:val="0"/>
        <w:adjustRightInd w:val="0"/>
        <w:spacing w:after="0" w:line="240" w:lineRule="auto"/>
        <w:jc w:val="both"/>
        <w:rPr>
          <w:rFonts w:ascii="Constantia" w:hAnsi="Constantia" w:cs="Kalinga"/>
          <w:color w:val="000000" w:themeColor="text1"/>
          <w:sz w:val="24"/>
          <w:szCs w:val="24"/>
        </w:rPr>
      </w:pPr>
    </w:p>
    <w:p w:rsidR="005A6D72" w:rsidRPr="00104CDC" w:rsidRDefault="00844A13" w:rsidP="00844A13">
      <w:pPr>
        <w:autoSpaceDE w:val="0"/>
        <w:autoSpaceDN w:val="0"/>
        <w:adjustRightInd w:val="0"/>
        <w:spacing w:after="0" w:line="240" w:lineRule="auto"/>
        <w:jc w:val="both"/>
        <w:rPr>
          <w:rFonts w:ascii="Constantia" w:hAnsi="Constantia"/>
          <w:color w:val="000000" w:themeColor="text1"/>
          <w:sz w:val="24"/>
          <w:szCs w:val="24"/>
        </w:rPr>
      </w:pPr>
      <w:proofErr w:type="spellStart"/>
      <w:r w:rsidRPr="00104CDC">
        <w:rPr>
          <w:rFonts w:ascii="Constantia" w:hAnsi="Constantia" w:cs="Kalinga"/>
          <w:color w:val="000000" w:themeColor="text1"/>
          <w:sz w:val="24"/>
          <w:szCs w:val="24"/>
        </w:rPr>
        <w:t>Tumor</w:t>
      </w:r>
      <w:proofErr w:type="spellEnd"/>
      <w:r w:rsidRPr="00104CDC">
        <w:rPr>
          <w:rFonts w:ascii="Constantia" w:hAnsi="Constantia" w:cs="Kalinga"/>
          <w:color w:val="000000" w:themeColor="text1"/>
          <w:sz w:val="24"/>
          <w:szCs w:val="24"/>
        </w:rPr>
        <w:t xml:space="preserve"> initiating stem-like cells (TICs) are a small subset </w:t>
      </w:r>
      <w:r w:rsidR="00A40BEE" w:rsidRPr="00104CDC">
        <w:rPr>
          <w:rFonts w:ascii="Constantia" w:hAnsi="Constantia" w:cs="Kalinga"/>
          <w:color w:val="000000" w:themeColor="text1"/>
          <w:sz w:val="24"/>
          <w:szCs w:val="24"/>
        </w:rPr>
        <w:t>of precursor lesions</w:t>
      </w:r>
      <w:r w:rsidRPr="00104CDC">
        <w:rPr>
          <w:rFonts w:ascii="Constantia" w:hAnsi="Constantia" w:cs="Kalinga"/>
          <w:color w:val="000000" w:themeColor="text1"/>
          <w:sz w:val="24"/>
          <w:szCs w:val="24"/>
        </w:rPr>
        <w:t xml:space="preserve"> which are capable of self-renewal and resistant to various chemotherapeutic drugs and radiation. This sub-population behaves like stem cells by undergoing either asymmetric or symmetric cell division thereby maintaining its population. </w:t>
      </w:r>
      <w:r w:rsidR="00A40BEE" w:rsidRPr="00104CDC">
        <w:rPr>
          <w:rFonts w:ascii="Constantia" w:hAnsi="Constantia" w:cs="Kalinga"/>
          <w:color w:val="000000" w:themeColor="text1"/>
          <w:sz w:val="24"/>
          <w:szCs w:val="24"/>
        </w:rPr>
        <w:t xml:space="preserve">Generation of </w:t>
      </w:r>
      <w:r w:rsidRPr="00104CDC">
        <w:rPr>
          <w:rFonts w:ascii="Constantia" w:hAnsi="Constantia" w:cs="Kalinga"/>
          <w:color w:val="000000" w:themeColor="text1"/>
          <w:sz w:val="24"/>
          <w:szCs w:val="24"/>
        </w:rPr>
        <w:t xml:space="preserve">TICs </w:t>
      </w:r>
      <w:r w:rsidR="00A40BEE" w:rsidRPr="00104CDC">
        <w:rPr>
          <w:rFonts w:ascii="Constantia" w:hAnsi="Constantia" w:cs="Kalinga"/>
          <w:color w:val="000000" w:themeColor="text1"/>
          <w:sz w:val="24"/>
          <w:szCs w:val="24"/>
        </w:rPr>
        <w:t xml:space="preserve">is </w:t>
      </w:r>
      <w:r w:rsidR="005A6D72" w:rsidRPr="00104CDC">
        <w:rPr>
          <w:rFonts w:ascii="Constantia" w:hAnsi="Constantia" w:cs="Kalinga"/>
          <w:color w:val="000000" w:themeColor="text1"/>
          <w:sz w:val="24"/>
          <w:szCs w:val="24"/>
        </w:rPr>
        <w:t xml:space="preserve">an </w:t>
      </w:r>
      <w:r w:rsidR="00A40BEE" w:rsidRPr="00104CDC">
        <w:rPr>
          <w:rFonts w:ascii="Constantia" w:hAnsi="Constantia" w:cs="Kalinga"/>
          <w:color w:val="000000" w:themeColor="text1"/>
          <w:sz w:val="24"/>
          <w:szCs w:val="24"/>
        </w:rPr>
        <w:t>extremely rare event, though is greatly propelled by any inheritable or germinal mutation, such as BRCA 1/2 mutations,</w:t>
      </w:r>
      <w:r w:rsidR="005A6D72" w:rsidRPr="00104CDC">
        <w:rPr>
          <w:rFonts w:ascii="Constantia" w:hAnsi="Constantia" w:cs="Kalinga"/>
          <w:color w:val="000000" w:themeColor="text1"/>
          <w:sz w:val="24"/>
          <w:szCs w:val="24"/>
        </w:rPr>
        <w:t xml:space="preserve"> that provides </w:t>
      </w:r>
      <w:r w:rsidR="00A40BEE" w:rsidRPr="00104CDC">
        <w:rPr>
          <w:rFonts w:ascii="Constantia" w:hAnsi="Constantia" w:cs="Kalinga"/>
          <w:color w:val="000000" w:themeColor="text1"/>
          <w:sz w:val="24"/>
          <w:szCs w:val="24"/>
        </w:rPr>
        <w:t xml:space="preserve">a mutagenic background for superimposition of further insults. </w:t>
      </w:r>
      <w:r w:rsidR="005A6D72" w:rsidRPr="00104CDC">
        <w:rPr>
          <w:rFonts w:ascii="Constantia" w:hAnsi="Constantia" w:cs="Kalinga"/>
          <w:color w:val="000000" w:themeColor="text1"/>
          <w:sz w:val="24"/>
          <w:szCs w:val="24"/>
        </w:rPr>
        <w:t xml:space="preserve">Naturally, </w:t>
      </w:r>
      <w:r w:rsidR="005A6D72" w:rsidRPr="00104CDC">
        <w:rPr>
          <w:rFonts w:ascii="Constantia" w:hAnsi="Constantia"/>
          <w:color w:val="000000" w:themeColor="text1"/>
          <w:sz w:val="24"/>
          <w:szCs w:val="24"/>
        </w:rPr>
        <w:t>over 25-45% of breast cancer (BC) patients below 35 years of age have hereditary origin involving BRCA1/2 mutation. Similarly, 80% of the families with the history of Ovarian Cancer (OC) have BRCA1 mutation and 15% of them with BRCA2 mutation.</w:t>
      </w:r>
      <w:r w:rsidR="005A6D72" w:rsidRPr="00104CDC">
        <w:rPr>
          <w:rFonts w:ascii="Constantia" w:hAnsi="Constantia" w:cs="AdvTT50a2f13e.I"/>
          <w:color w:val="000000" w:themeColor="text1"/>
          <w:sz w:val="24"/>
          <w:szCs w:val="24"/>
        </w:rPr>
        <w:t xml:space="preserve"> BRCA1 </w:t>
      </w:r>
      <w:r w:rsidR="005A6D72" w:rsidRPr="00104CDC">
        <w:rPr>
          <w:rFonts w:ascii="Constantia" w:hAnsi="Constantia" w:cs="AdvTT3713a231"/>
          <w:color w:val="000000" w:themeColor="text1"/>
          <w:sz w:val="24"/>
          <w:szCs w:val="24"/>
        </w:rPr>
        <w:t xml:space="preserve">mutation carriers have an 18% risk (15% for </w:t>
      </w:r>
      <w:r w:rsidR="005A6D72" w:rsidRPr="00104CDC">
        <w:rPr>
          <w:rFonts w:ascii="Constantia" w:hAnsi="Constantia" w:cs="AdvTT50a2f13e.I"/>
          <w:color w:val="000000" w:themeColor="text1"/>
          <w:sz w:val="24"/>
          <w:szCs w:val="24"/>
        </w:rPr>
        <w:t xml:space="preserve">BRCA2 </w:t>
      </w:r>
      <w:r w:rsidR="005A6D72" w:rsidRPr="00104CDC">
        <w:rPr>
          <w:rFonts w:ascii="Constantia" w:hAnsi="Constantia" w:cs="AdvTT3713a231"/>
          <w:color w:val="000000" w:themeColor="text1"/>
          <w:sz w:val="24"/>
          <w:szCs w:val="24"/>
        </w:rPr>
        <w:t>mutation carriers) for developing BC up to the age of 39 years, and the risk increases to 59% (</w:t>
      </w:r>
      <w:r w:rsidR="005A6D72" w:rsidRPr="00104CDC">
        <w:rPr>
          <w:rFonts w:ascii="Constantia" w:hAnsi="Constantia" w:cs="AdvTT50a2f13e.I"/>
          <w:color w:val="000000" w:themeColor="text1"/>
          <w:sz w:val="24"/>
          <w:szCs w:val="24"/>
        </w:rPr>
        <w:t xml:space="preserve">BRCA2 - </w:t>
      </w:r>
      <w:r w:rsidR="005A6D72" w:rsidRPr="00104CDC">
        <w:rPr>
          <w:rFonts w:ascii="Constantia" w:hAnsi="Constantia" w:cs="AdvTT3713a231"/>
          <w:color w:val="000000" w:themeColor="text1"/>
          <w:sz w:val="24"/>
          <w:szCs w:val="24"/>
        </w:rPr>
        <w:t>34%) at ages 40</w:t>
      </w:r>
      <w:r w:rsidR="005A6D72" w:rsidRPr="00104CDC">
        <w:rPr>
          <w:rFonts w:ascii="Constantia" w:hAnsi="Constantia" w:cs="AdvTT3713a231+20"/>
          <w:color w:val="000000" w:themeColor="text1"/>
          <w:sz w:val="24"/>
          <w:szCs w:val="24"/>
        </w:rPr>
        <w:t>–</w:t>
      </w:r>
      <w:r w:rsidR="005A6D72" w:rsidRPr="00104CDC">
        <w:rPr>
          <w:rFonts w:ascii="Constantia" w:hAnsi="Constantia" w:cs="AdvTT3713a231"/>
          <w:color w:val="000000" w:themeColor="text1"/>
          <w:sz w:val="24"/>
          <w:szCs w:val="24"/>
        </w:rPr>
        <w:t>49 years.</w:t>
      </w:r>
      <w:r w:rsidR="005A6D72" w:rsidRPr="00104CDC">
        <w:rPr>
          <w:rFonts w:ascii="Constantia" w:hAnsi="Constantia"/>
          <w:color w:val="000000" w:themeColor="text1"/>
          <w:sz w:val="24"/>
          <w:szCs w:val="24"/>
        </w:rPr>
        <w:t xml:space="preserve"> Such an overt association calls for prophylactic measures to prevent the likely development of cancer.</w:t>
      </w:r>
    </w:p>
    <w:p w:rsidR="005A6D72" w:rsidRPr="00104CDC" w:rsidRDefault="005A6D72" w:rsidP="00844A13">
      <w:pPr>
        <w:autoSpaceDE w:val="0"/>
        <w:autoSpaceDN w:val="0"/>
        <w:adjustRightInd w:val="0"/>
        <w:spacing w:after="0" w:line="240" w:lineRule="auto"/>
        <w:jc w:val="both"/>
        <w:rPr>
          <w:rFonts w:ascii="Constantia" w:hAnsi="Constantia"/>
          <w:color w:val="000000" w:themeColor="text1"/>
          <w:sz w:val="24"/>
          <w:szCs w:val="24"/>
        </w:rPr>
      </w:pPr>
    </w:p>
    <w:p w:rsidR="001D4DC9" w:rsidRDefault="005A6D72" w:rsidP="00844A13">
      <w:pPr>
        <w:autoSpaceDE w:val="0"/>
        <w:autoSpaceDN w:val="0"/>
        <w:adjustRightInd w:val="0"/>
        <w:spacing w:after="0" w:line="240" w:lineRule="auto"/>
        <w:jc w:val="both"/>
        <w:rPr>
          <w:rFonts w:ascii="Constantia" w:hAnsi="Constantia"/>
          <w:color w:val="000000" w:themeColor="text1"/>
          <w:sz w:val="24"/>
          <w:szCs w:val="24"/>
        </w:rPr>
      </w:pPr>
      <w:r w:rsidRPr="00104CDC">
        <w:rPr>
          <w:rFonts w:ascii="Constantia" w:hAnsi="Constantia"/>
          <w:color w:val="000000" w:themeColor="text1"/>
          <w:sz w:val="24"/>
          <w:szCs w:val="24"/>
        </w:rPr>
        <w:t xml:space="preserve">In this study, we aim at using </w:t>
      </w:r>
      <w:proofErr w:type="spellStart"/>
      <w:r w:rsidRPr="00104CDC">
        <w:rPr>
          <w:rFonts w:ascii="Constantia" w:hAnsi="Constantia"/>
          <w:color w:val="000000" w:themeColor="text1"/>
          <w:sz w:val="24"/>
          <w:szCs w:val="24"/>
        </w:rPr>
        <w:t>Autologous</w:t>
      </w:r>
      <w:proofErr w:type="spellEnd"/>
      <w:r w:rsidRPr="00104CDC">
        <w:rPr>
          <w:rFonts w:ascii="Constantia" w:hAnsi="Constantia"/>
          <w:color w:val="000000" w:themeColor="text1"/>
          <w:sz w:val="24"/>
          <w:szCs w:val="24"/>
        </w:rPr>
        <w:t xml:space="preserve"> Immunotherapy involving </w:t>
      </w:r>
      <w:proofErr w:type="spellStart"/>
      <w:r w:rsidRPr="00104CDC">
        <w:rPr>
          <w:rFonts w:ascii="Constantia" w:hAnsi="Constantia"/>
          <w:color w:val="000000" w:themeColor="text1"/>
          <w:sz w:val="24"/>
          <w:szCs w:val="24"/>
        </w:rPr>
        <w:t>Dendritic</w:t>
      </w:r>
      <w:proofErr w:type="spellEnd"/>
      <w:r w:rsidRPr="00104CDC">
        <w:rPr>
          <w:rFonts w:ascii="Constantia" w:hAnsi="Constantia"/>
          <w:color w:val="000000" w:themeColor="text1"/>
          <w:sz w:val="24"/>
          <w:szCs w:val="24"/>
        </w:rPr>
        <w:t xml:space="preserve"> Cells (DCs), Natural Killer (NK) Cells and </w:t>
      </w:r>
      <w:proofErr w:type="spellStart"/>
      <w:r w:rsidRPr="00104CDC">
        <w:rPr>
          <w:rFonts w:ascii="Constantia" w:hAnsi="Constantia"/>
          <w:color w:val="000000" w:themeColor="text1"/>
          <w:sz w:val="24"/>
          <w:szCs w:val="24"/>
        </w:rPr>
        <w:t>Lymphokine</w:t>
      </w:r>
      <w:proofErr w:type="spellEnd"/>
      <w:r w:rsidRPr="00104CDC">
        <w:rPr>
          <w:rFonts w:ascii="Constantia" w:hAnsi="Constantia"/>
          <w:color w:val="000000" w:themeColor="text1"/>
          <w:sz w:val="24"/>
          <w:szCs w:val="24"/>
        </w:rPr>
        <w:t xml:space="preserve"> Activated Killer (NAK) cells primed with </w:t>
      </w:r>
      <w:proofErr w:type="spellStart"/>
      <w:r w:rsidRPr="00104CDC">
        <w:rPr>
          <w:rFonts w:ascii="Constantia" w:hAnsi="Constantia"/>
          <w:color w:val="000000" w:themeColor="text1"/>
          <w:sz w:val="24"/>
          <w:szCs w:val="24"/>
        </w:rPr>
        <w:t>allogenous</w:t>
      </w:r>
      <w:proofErr w:type="spellEnd"/>
      <w:r w:rsidRPr="00104CDC">
        <w:rPr>
          <w:rFonts w:ascii="Constantia" w:hAnsi="Constantia"/>
          <w:color w:val="000000" w:themeColor="text1"/>
          <w:sz w:val="24"/>
          <w:szCs w:val="24"/>
        </w:rPr>
        <w:t xml:space="preserve"> breast and ovarian cancer antigens as prophylactic measures to activate host immune system in the normal but BRCA1/2 mutation careers against the likely development of </w:t>
      </w:r>
      <w:proofErr w:type="spellStart"/>
      <w:r w:rsidRPr="00104CDC">
        <w:rPr>
          <w:rFonts w:ascii="Constantia" w:hAnsi="Constantia"/>
          <w:color w:val="000000" w:themeColor="text1"/>
          <w:sz w:val="24"/>
          <w:szCs w:val="24"/>
        </w:rPr>
        <w:t>neoplastic</w:t>
      </w:r>
      <w:proofErr w:type="spellEnd"/>
      <w:r w:rsidRPr="00104CDC">
        <w:rPr>
          <w:rFonts w:ascii="Constantia" w:hAnsi="Constantia"/>
          <w:color w:val="000000" w:themeColor="text1"/>
          <w:sz w:val="24"/>
          <w:szCs w:val="24"/>
        </w:rPr>
        <w:t xml:space="preserve"> lesions, whose development frequency is statistically predicted. Our objective here is to demonstrate the efficacy of the immunotherapeutic </w:t>
      </w:r>
      <w:r w:rsidRPr="00104CDC">
        <w:rPr>
          <w:rFonts w:ascii="Constantia" w:hAnsi="Constantia"/>
          <w:color w:val="000000" w:themeColor="text1"/>
          <w:sz w:val="24"/>
          <w:szCs w:val="24"/>
        </w:rPr>
        <w:lastRenderedPageBreak/>
        <w:t>regimen in reducing the statistical probability of development of the breast and ovarian cancer in the test individuals.</w:t>
      </w:r>
    </w:p>
    <w:p w:rsidR="00DC65BB" w:rsidRDefault="00DC65BB" w:rsidP="00844A13">
      <w:pPr>
        <w:autoSpaceDE w:val="0"/>
        <w:autoSpaceDN w:val="0"/>
        <w:adjustRightInd w:val="0"/>
        <w:spacing w:after="0" w:line="240" w:lineRule="auto"/>
        <w:jc w:val="both"/>
        <w:rPr>
          <w:rFonts w:ascii="Constantia" w:hAnsi="Constantia"/>
          <w:color w:val="000000" w:themeColor="text1"/>
          <w:sz w:val="24"/>
          <w:szCs w:val="24"/>
        </w:rPr>
      </w:pPr>
    </w:p>
    <w:p w:rsidR="00DC65BB" w:rsidRDefault="00DC65BB" w:rsidP="00844A13">
      <w:pPr>
        <w:autoSpaceDE w:val="0"/>
        <w:autoSpaceDN w:val="0"/>
        <w:adjustRightInd w:val="0"/>
        <w:spacing w:after="0" w:line="240" w:lineRule="auto"/>
        <w:jc w:val="both"/>
        <w:rPr>
          <w:rFonts w:ascii="Constantia" w:hAnsi="Constantia"/>
          <w:color w:val="000000" w:themeColor="text1"/>
          <w:sz w:val="24"/>
          <w:szCs w:val="24"/>
        </w:rPr>
      </w:pPr>
      <w:r>
        <w:rPr>
          <w:rFonts w:ascii="Constantia" w:hAnsi="Constantia"/>
          <w:color w:val="000000" w:themeColor="text1"/>
          <w:sz w:val="24"/>
          <w:szCs w:val="24"/>
        </w:rPr>
        <w:t>Photo</w:t>
      </w:r>
    </w:p>
    <w:p w:rsidR="00DC65BB" w:rsidRDefault="00DC65BB" w:rsidP="00844A13">
      <w:pPr>
        <w:autoSpaceDE w:val="0"/>
        <w:autoSpaceDN w:val="0"/>
        <w:adjustRightInd w:val="0"/>
        <w:spacing w:after="0" w:line="240" w:lineRule="auto"/>
        <w:jc w:val="both"/>
        <w:rPr>
          <w:rFonts w:ascii="Constantia" w:hAnsi="Constantia"/>
          <w:color w:val="000000" w:themeColor="text1"/>
          <w:sz w:val="24"/>
          <w:szCs w:val="24"/>
        </w:rPr>
      </w:pPr>
    </w:p>
    <w:p w:rsidR="00DC65BB" w:rsidRPr="00104CDC" w:rsidRDefault="00DC65BB" w:rsidP="00844A13">
      <w:pPr>
        <w:autoSpaceDE w:val="0"/>
        <w:autoSpaceDN w:val="0"/>
        <w:adjustRightInd w:val="0"/>
        <w:spacing w:after="0" w:line="240" w:lineRule="auto"/>
        <w:jc w:val="both"/>
        <w:rPr>
          <w:rFonts w:ascii="Constantia" w:hAnsi="Constantia" w:cs="Kalinga"/>
          <w:color w:val="000000" w:themeColor="text1"/>
          <w:sz w:val="24"/>
          <w:szCs w:val="24"/>
        </w:rPr>
      </w:pPr>
      <w:r>
        <w:rPr>
          <w:rFonts w:ascii="Constantia" w:hAnsi="Constantia" w:cs="Kalinga"/>
          <w:noProof/>
          <w:color w:val="000000" w:themeColor="text1"/>
          <w:sz w:val="24"/>
          <w:szCs w:val="24"/>
        </w:rPr>
        <w:drawing>
          <wp:inline distT="0" distB="0" distL="0" distR="0">
            <wp:extent cx="1171575" cy="1143000"/>
            <wp:effectExtent l="19050" t="0" r="9525" b="0"/>
            <wp:docPr id="1" name="Picture 1" descr="E:\Dr. Anand CV\Personal Certificates\Anand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r. Anand CV\Personal Certificates\Anand -Photo.jpg"/>
                    <pic:cNvPicPr>
                      <a:picLocks noChangeAspect="1" noChangeArrowheads="1"/>
                    </pic:cNvPicPr>
                  </pic:nvPicPr>
                  <pic:blipFill>
                    <a:blip r:embed="rId4" cstate="print"/>
                    <a:srcRect/>
                    <a:stretch>
                      <a:fillRect/>
                    </a:stretch>
                  </pic:blipFill>
                  <pic:spPr bwMode="auto">
                    <a:xfrm>
                      <a:off x="0" y="0"/>
                      <a:ext cx="1171575" cy="1143000"/>
                    </a:xfrm>
                    <a:prstGeom prst="rect">
                      <a:avLst/>
                    </a:prstGeom>
                    <a:noFill/>
                    <a:ln w="9525">
                      <a:noFill/>
                      <a:miter lim="800000"/>
                      <a:headEnd/>
                      <a:tailEnd/>
                    </a:ln>
                  </pic:spPr>
                </pic:pic>
              </a:graphicData>
            </a:graphic>
          </wp:inline>
        </w:drawing>
      </w:r>
    </w:p>
    <w:sectPr w:rsidR="00DC65BB" w:rsidRPr="00104CDC" w:rsidSect="00AD3F9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Kalinga">
    <w:panose1 w:val="020B0502040204020203"/>
    <w:charset w:val="00"/>
    <w:family w:val="swiss"/>
    <w:pitch w:val="variable"/>
    <w:sig w:usb0="00080003" w:usb1="00000000" w:usb2="00000000" w:usb3="00000000" w:csb0="00000001" w:csb1="00000000"/>
  </w:font>
  <w:font w:name="AdvTT50a2f13e.I">
    <w:panose1 w:val="00000000000000000000"/>
    <w:charset w:val="00"/>
    <w:family w:val="swiss"/>
    <w:notTrueType/>
    <w:pitch w:val="default"/>
    <w:sig w:usb0="00000003" w:usb1="00000000" w:usb2="00000000" w:usb3="00000000" w:csb0="00000001" w:csb1="00000000"/>
  </w:font>
  <w:font w:name="AdvTT3713a231">
    <w:panose1 w:val="00000000000000000000"/>
    <w:charset w:val="00"/>
    <w:family w:val="roman"/>
    <w:notTrueType/>
    <w:pitch w:val="default"/>
    <w:sig w:usb0="00000003" w:usb1="00000000" w:usb2="00000000" w:usb3="00000000" w:csb0="00000001" w:csb1="00000000"/>
  </w:font>
  <w:font w:name="AdvTT3713a231+20">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F6696A"/>
    <w:rsid w:val="00104CDC"/>
    <w:rsid w:val="001D4DC9"/>
    <w:rsid w:val="004004EB"/>
    <w:rsid w:val="005A6D72"/>
    <w:rsid w:val="00844A13"/>
    <w:rsid w:val="009C519A"/>
    <w:rsid w:val="00A40BEE"/>
    <w:rsid w:val="00AD3F98"/>
    <w:rsid w:val="00C8721A"/>
    <w:rsid w:val="00DC65BB"/>
    <w:rsid w:val="00F6696A"/>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3F9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C65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65B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Pages>
  <Words>482</Words>
  <Characters>2752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Anand</dc:creator>
  <cp:keywords/>
  <dc:description/>
  <cp:lastModifiedBy>Anand</cp:lastModifiedBy>
  <cp:revision>7</cp:revision>
  <dcterms:created xsi:type="dcterms:W3CDTF">2019-05-10T15:47:00Z</dcterms:created>
  <dcterms:modified xsi:type="dcterms:W3CDTF">2019-05-10T17:01:00Z</dcterms:modified>
</cp:coreProperties>
</file>